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53DF7" w14:textId="3C65875F" w:rsidR="00C32E1D" w:rsidRPr="00912E9B" w:rsidRDefault="00267731" w:rsidP="00C32E1D">
      <w:pPr>
        <w:pStyle w:val="Prospectus-Level1"/>
        <w:rPr>
          <w:szCs w:val="22"/>
          <w:lang w:val="en-IE"/>
        </w:rPr>
      </w:pPr>
      <w:bookmarkStart w:id="0" w:name="_Toc166060024"/>
      <w:bookmarkStart w:id="1" w:name="_Toc330561002"/>
      <w:r w:rsidRPr="00912E9B">
        <w:rPr>
          <w:szCs w:val="22"/>
          <w:lang w:val="en-IE"/>
        </w:rPr>
        <w:t xml:space="preserve">ALPEX </w:t>
      </w:r>
      <w:r w:rsidR="00C32E1D" w:rsidRPr="00912E9B">
        <w:rPr>
          <w:szCs w:val="22"/>
          <w:lang w:val="en-IE"/>
        </w:rPr>
        <w:t>GLOSSARY</w:t>
      </w:r>
    </w:p>
    <w:p w14:paraId="60871627" w14:textId="3DD2F2B8" w:rsidR="005D5C4B" w:rsidRPr="00912E9B" w:rsidRDefault="005D5C4B" w:rsidP="005D5C4B">
      <w:pPr>
        <w:pStyle w:val="CERHEADING2"/>
        <w:spacing w:after="240"/>
        <w:ind w:left="0"/>
        <w:rPr>
          <w:rFonts w:asciiTheme="majorHAnsi" w:hAnsiTheme="majorHAnsi" w:cstheme="majorHAnsi"/>
          <w:sz w:val="22"/>
          <w:szCs w:val="22"/>
          <w:lang w:val="en-IE"/>
        </w:rPr>
      </w:pPr>
      <w:bookmarkStart w:id="2" w:name="_Toc330561001"/>
      <w:r w:rsidRPr="00912E9B">
        <w:rPr>
          <w:rFonts w:asciiTheme="majorHAnsi" w:hAnsiTheme="majorHAnsi" w:cstheme="majorHAnsi"/>
          <w:sz w:val="22"/>
          <w:szCs w:val="22"/>
          <w:lang w:val="en-IE"/>
        </w:rPr>
        <w:t xml:space="preserve">Definitions and Acronyms used in </w:t>
      </w:r>
      <w:r w:rsidR="00267731" w:rsidRPr="00912E9B">
        <w:rPr>
          <w:rFonts w:asciiTheme="majorHAnsi" w:hAnsiTheme="majorHAnsi" w:cstheme="majorHAnsi"/>
          <w:sz w:val="22"/>
          <w:szCs w:val="22"/>
          <w:lang w:val="en-IE"/>
        </w:rPr>
        <w:t>ALPEX</w:t>
      </w:r>
      <w:r w:rsidRPr="00912E9B">
        <w:rPr>
          <w:rFonts w:asciiTheme="majorHAnsi" w:hAnsiTheme="majorHAnsi" w:cstheme="majorHAnsi"/>
          <w:sz w:val="22"/>
          <w:szCs w:val="22"/>
          <w:lang w:val="en-IE"/>
        </w:rPr>
        <w:t xml:space="preserve"> Rules</w:t>
      </w:r>
      <w:r w:rsidR="00D61109" w:rsidRPr="00912E9B">
        <w:rPr>
          <w:rFonts w:asciiTheme="majorHAnsi" w:hAnsiTheme="majorHAnsi" w:cstheme="majorHAnsi"/>
          <w:sz w:val="22"/>
          <w:szCs w:val="22"/>
          <w:lang w:val="en-IE"/>
        </w:rPr>
        <w:t xml:space="preserve"> </w:t>
      </w:r>
      <w:r w:rsidR="00DA2704" w:rsidRPr="00912E9B">
        <w:rPr>
          <w:rFonts w:asciiTheme="majorHAnsi" w:hAnsiTheme="majorHAnsi" w:cstheme="majorHAnsi"/>
          <w:sz w:val="22"/>
          <w:szCs w:val="22"/>
          <w:lang w:val="en-IE"/>
        </w:rPr>
        <w:t>AND THE PROCEDURES</w:t>
      </w:r>
    </w:p>
    <w:p w14:paraId="10F6A139" w14:textId="4A151F1E" w:rsidR="00113761" w:rsidRPr="00912E9B" w:rsidRDefault="00CE6730" w:rsidP="008940C7">
      <w:pPr>
        <w:rPr>
          <w:rFonts w:asciiTheme="majorHAnsi" w:hAnsiTheme="majorHAnsi" w:cstheme="majorHAnsi"/>
          <w:sz w:val="22"/>
          <w:szCs w:val="22"/>
        </w:rPr>
      </w:pPr>
      <w:r w:rsidRPr="00912E9B">
        <w:rPr>
          <w:rFonts w:asciiTheme="majorHAnsi" w:hAnsiTheme="majorHAnsi" w:cstheme="majorHAnsi"/>
          <w:sz w:val="22"/>
          <w:szCs w:val="22"/>
        </w:rPr>
        <w:t xml:space="preserve">Unless indicated otherwise, references in this glossary to Chapters, sections and paragraphs are references to provisions in </w:t>
      </w:r>
      <w:r w:rsidR="00267731" w:rsidRPr="00912E9B">
        <w:rPr>
          <w:rFonts w:asciiTheme="majorHAnsi" w:hAnsiTheme="majorHAnsi" w:cstheme="majorHAnsi"/>
          <w:sz w:val="22"/>
          <w:szCs w:val="22"/>
        </w:rPr>
        <w:t>ALPEX</w:t>
      </w:r>
      <w:r w:rsidRPr="00912E9B">
        <w:rPr>
          <w:rFonts w:asciiTheme="majorHAnsi" w:hAnsiTheme="majorHAnsi" w:cstheme="majorHAnsi"/>
          <w:sz w:val="22"/>
          <w:szCs w:val="22"/>
        </w:rPr>
        <w:t xml:space="preserve"> Rules</w:t>
      </w:r>
      <w:r w:rsidR="00C8152F" w:rsidRPr="00912E9B">
        <w:rPr>
          <w:rFonts w:asciiTheme="majorHAnsi" w:hAnsiTheme="majorHAnsi" w:cstheme="majorHAnsi"/>
          <w:sz w:val="22"/>
          <w:szCs w:val="22"/>
        </w:rPr>
        <w:t xml:space="preserve"> and the Procedures</w:t>
      </w:r>
      <w:r w:rsidRPr="00912E9B">
        <w:rPr>
          <w:rFonts w:asciiTheme="majorHAnsi" w:hAnsiTheme="majorHAnsi" w:cstheme="majorHAnsi"/>
          <w:sz w:val="22"/>
          <w:szCs w:val="22"/>
        </w:rPr>
        <w:t xml:space="preserve">. </w:t>
      </w:r>
    </w:p>
    <w:bookmarkEnd w:id="2"/>
    <w:p w14:paraId="29D688C4" w14:textId="2734F9CB" w:rsidR="00E560DF" w:rsidRPr="00912E9B" w:rsidRDefault="00E560DF" w:rsidP="005D5C4B">
      <w:pPr>
        <w:pStyle w:val="CERLEVEL1"/>
        <w:numPr>
          <w:ilvl w:val="0"/>
          <w:numId w:val="0"/>
        </w:numPr>
        <w:rPr>
          <w:rFonts w:asciiTheme="majorHAnsi" w:hAnsiTheme="majorHAnsi" w:cstheme="majorHAnsi"/>
          <w:sz w:val="22"/>
        </w:rPr>
      </w:pPr>
      <w:r w:rsidRPr="00912E9B">
        <w:rPr>
          <w:rFonts w:asciiTheme="majorHAnsi" w:hAnsiTheme="majorHAnsi" w:cstheme="majorHAnsi"/>
          <w:sz w:val="22"/>
        </w:rPr>
        <w:t>A</w:t>
      </w:r>
      <w:r w:rsidR="005D5C4B" w:rsidRPr="00912E9B">
        <w:rPr>
          <w:rFonts w:asciiTheme="majorHAnsi" w:hAnsiTheme="majorHAnsi" w:cstheme="majorHAnsi"/>
          <w:sz w:val="22"/>
        </w:rPr>
        <w:t xml:space="preserve"> </w:t>
      </w:r>
      <w:proofErr w:type="spellStart"/>
      <w:r w:rsidR="005D5C4B" w:rsidRPr="00912E9B">
        <w:rPr>
          <w:rFonts w:asciiTheme="majorHAnsi" w:hAnsiTheme="majorHAnsi" w:cstheme="majorHAnsi"/>
          <w:caps w:val="0"/>
          <w:sz w:val="22"/>
        </w:rPr>
        <w:t>to</w:t>
      </w:r>
      <w:proofErr w:type="spellEnd"/>
      <w:r w:rsidR="005D5C4B" w:rsidRPr="00912E9B">
        <w:rPr>
          <w:rFonts w:asciiTheme="majorHAnsi" w:hAnsiTheme="majorHAnsi" w:cstheme="majorHAnsi"/>
          <w:sz w:val="22"/>
        </w:rPr>
        <w:t xml:space="preserve"> </w:t>
      </w:r>
      <w:r w:rsidR="005F2CCD" w:rsidRPr="00912E9B">
        <w:rPr>
          <w:rFonts w:asciiTheme="majorHAnsi" w:hAnsiTheme="majorHAnsi" w:cstheme="majorHAnsi"/>
          <w:sz w:val="22"/>
        </w:rPr>
        <w:t>D</w:t>
      </w:r>
    </w:p>
    <w:tbl>
      <w:tblPr>
        <w:tblW w:w="9386"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7088"/>
      </w:tblGrid>
      <w:tr w:rsidR="009B7A31" w:rsidRPr="00912E9B" w14:paraId="575A5711" w14:textId="77777777" w:rsidTr="00D40051">
        <w:trPr>
          <w:cantSplit/>
        </w:trPr>
        <w:tc>
          <w:tcPr>
            <w:tcW w:w="2298" w:type="dxa"/>
            <w:shd w:val="clear" w:color="auto" w:fill="auto"/>
            <w:vAlign w:val="center"/>
          </w:tcPr>
          <w:p w14:paraId="1F9A825F" w14:textId="362F6B40" w:rsidR="00AE3B02" w:rsidRPr="00912E9B" w:rsidRDefault="00AE3B02" w:rsidP="00AE3B02">
            <w:pPr>
              <w:pStyle w:val="CERGlossaryTerm"/>
              <w:rPr>
                <w:rFonts w:asciiTheme="majorHAnsi" w:hAnsiTheme="majorHAnsi" w:cstheme="majorHAnsi"/>
                <w:sz w:val="22"/>
                <w:szCs w:val="22"/>
              </w:rPr>
            </w:pPr>
            <w:r w:rsidRPr="00912E9B">
              <w:rPr>
                <w:rFonts w:asciiTheme="minorHAnsi" w:hAnsiTheme="minorHAnsi" w:cstheme="minorHAnsi"/>
                <w:sz w:val="22"/>
                <w:szCs w:val="22"/>
              </w:rPr>
              <w:t>Acceptance Ratio</w:t>
            </w:r>
          </w:p>
        </w:tc>
        <w:tc>
          <w:tcPr>
            <w:tcW w:w="7088" w:type="dxa"/>
            <w:shd w:val="clear" w:color="auto" w:fill="auto"/>
            <w:vAlign w:val="center"/>
          </w:tcPr>
          <w:p w14:paraId="0588420B" w14:textId="630C8B57" w:rsidR="00AE3B02" w:rsidRPr="00912E9B" w:rsidRDefault="0029486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w:t>
            </w:r>
            <w:r w:rsidR="00AE3B02" w:rsidRPr="00912E9B">
              <w:rPr>
                <w:rFonts w:asciiTheme="majorHAnsi" w:hAnsiTheme="majorHAnsi" w:cstheme="majorHAnsi"/>
                <w:sz w:val="22"/>
                <w:szCs w:val="22"/>
              </w:rPr>
              <w:t>he accepted amount of energy from a Block Order, which is part of the</w:t>
            </w:r>
            <w:r w:rsidR="004B501E" w:rsidRPr="00912E9B">
              <w:rPr>
                <w:rFonts w:asciiTheme="majorHAnsi" w:hAnsiTheme="majorHAnsi" w:cstheme="majorHAnsi"/>
                <w:sz w:val="22"/>
                <w:szCs w:val="22"/>
              </w:rPr>
              <w:t xml:space="preserve"> </w:t>
            </w:r>
            <w:r w:rsidR="00AE3B02" w:rsidRPr="00912E9B">
              <w:rPr>
                <w:rFonts w:asciiTheme="majorHAnsi" w:hAnsiTheme="majorHAnsi" w:cstheme="majorHAnsi"/>
                <w:sz w:val="22"/>
                <w:szCs w:val="22"/>
              </w:rPr>
              <w:t>offered energy. The Acceptance Ratio can be either zero or between the Minimum Acceptance Ratio (of the specific Block Order) and the unit (1). The Acceptance Ratio may also refer to a Linked Block Order</w:t>
            </w:r>
            <w:r w:rsidR="004B501E" w:rsidRPr="00912E9B">
              <w:rPr>
                <w:rFonts w:asciiTheme="majorHAnsi" w:hAnsiTheme="majorHAnsi" w:cstheme="majorHAnsi"/>
                <w:sz w:val="22"/>
                <w:szCs w:val="22"/>
              </w:rPr>
              <w:t xml:space="preserve"> and Exclusive Group of Block Orders</w:t>
            </w:r>
            <w:r w:rsidR="00AE3B02" w:rsidRPr="00912E9B">
              <w:rPr>
                <w:rFonts w:asciiTheme="majorHAnsi" w:hAnsiTheme="majorHAnsi" w:cstheme="majorHAnsi"/>
                <w:sz w:val="22"/>
                <w:szCs w:val="22"/>
              </w:rPr>
              <w:t>.</w:t>
            </w:r>
          </w:p>
        </w:tc>
      </w:tr>
      <w:tr w:rsidR="009B7A31" w:rsidRPr="00912E9B" w14:paraId="06D1D92B" w14:textId="77777777" w:rsidTr="00D40051">
        <w:trPr>
          <w:cantSplit/>
        </w:trPr>
        <w:tc>
          <w:tcPr>
            <w:tcW w:w="2298" w:type="dxa"/>
            <w:shd w:val="clear" w:color="auto" w:fill="auto"/>
            <w:vAlign w:val="center"/>
          </w:tcPr>
          <w:p w14:paraId="531EBD36" w14:textId="7BBFEBD3" w:rsidR="006F3225" w:rsidRPr="00912E9B" w:rsidRDefault="006F3225" w:rsidP="006F3225">
            <w:pPr>
              <w:pStyle w:val="CERGlossaryTerm"/>
              <w:rPr>
                <w:rFonts w:asciiTheme="majorHAnsi" w:hAnsiTheme="majorHAnsi" w:cstheme="majorHAnsi"/>
                <w:sz w:val="22"/>
                <w:szCs w:val="22"/>
              </w:rPr>
            </w:pPr>
            <w:r w:rsidRPr="00912E9B">
              <w:rPr>
                <w:rFonts w:asciiTheme="minorHAnsi" w:hAnsiTheme="minorHAnsi" w:cstheme="minorHAnsi"/>
                <w:sz w:val="22"/>
                <w:szCs w:val="22"/>
              </w:rPr>
              <w:t>Accession Fee</w:t>
            </w:r>
          </w:p>
        </w:tc>
        <w:tc>
          <w:tcPr>
            <w:tcW w:w="7088" w:type="dxa"/>
            <w:shd w:val="clear" w:color="auto" w:fill="auto"/>
            <w:vAlign w:val="center"/>
          </w:tcPr>
          <w:p w14:paraId="5D4DA578" w14:textId="2DA7C0B4" w:rsidR="006F3225" w:rsidRPr="00912E9B" w:rsidRDefault="006F3225"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a fee to be paid to the ALPEX by an Applicant for acquiring the capacity of Clearing </w:t>
            </w:r>
            <w:r w:rsidR="002F7203" w:rsidRPr="00912E9B">
              <w:rPr>
                <w:rFonts w:asciiTheme="minorHAnsi" w:hAnsiTheme="minorHAnsi" w:cstheme="minorHAnsi"/>
                <w:sz w:val="22"/>
                <w:szCs w:val="22"/>
              </w:rPr>
              <w:t>Member</w:t>
            </w:r>
            <w:r w:rsidRPr="00912E9B">
              <w:rPr>
                <w:rFonts w:asciiTheme="minorHAnsi" w:hAnsiTheme="minorHAnsi" w:cstheme="minorHAnsi"/>
                <w:sz w:val="22"/>
                <w:szCs w:val="22"/>
              </w:rPr>
              <w:t>.</w:t>
            </w:r>
          </w:p>
        </w:tc>
      </w:tr>
      <w:tr w:rsidR="009B7A31" w:rsidRPr="00912E9B" w14:paraId="1EBD8DBB" w14:textId="77777777" w:rsidTr="00D40051">
        <w:trPr>
          <w:cantSplit/>
        </w:trPr>
        <w:tc>
          <w:tcPr>
            <w:tcW w:w="2298" w:type="dxa"/>
            <w:shd w:val="clear" w:color="auto" w:fill="auto"/>
            <w:vAlign w:val="center"/>
          </w:tcPr>
          <w:p w14:paraId="4CA96DBA" w14:textId="2ED1A3B6" w:rsidR="00B601DE" w:rsidRPr="00912E9B" w:rsidRDefault="00B601DE" w:rsidP="00B601DE">
            <w:pPr>
              <w:pStyle w:val="CERGlossaryTerm"/>
              <w:rPr>
                <w:rFonts w:asciiTheme="majorHAnsi" w:hAnsiTheme="majorHAnsi" w:cstheme="majorHAnsi"/>
                <w:sz w:val="22"/>
                <w:szCs w:val="22"/>
              </w:rPr>
            </w:pPr>
            <w:r w:rsidRPr="00912E9B">
              <w:rPr>
                <w:rFonts w:asciiTheme="minorHAnsi" w:hAnsiTheme="minorHAnsi" w:cstheme="minorHAnsi"/>
                <w:sz w:val="22"/>
                <w:szCs w:val="22"/>
              </w:rPr>
              <w:t>Accession Process</w:t>
            </w:r>
          </w:p>
        </w:tc>
        <w:tc>
          <w:tcPr>
            <w:tcW w:w="7088" w:type="dxa"/>
            <w:shd w:val="clear" w:color="auto" w:fill="auto"/>
            <w:vAlign w:val="center"/>
          </w:tcPr>
          <w:p w14:paraId="1AE35842" w14:textId="11E82EA7" w:rsidR="00B601DE" w:rsidRPr="00912E9B" w:rsidRDefault="00B601DE"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the process </w:t>
            </w:r>
            <w:r w:rsidR="004B501E" w:rsidRPr="00912E9B">
              <w:rPr>
                <w:rFonts w:asciiTheme="minorHAnsi" w:hAnsiTheme="minorHAnsi" w:cstheme="minorHAnsi"/>
                <w:sz w:val="22"/>
                <w:szCs w:val="22"/>
              </w:rPr>
              <w:t>follow by an Applicant for acquiring the capacity of Clearing Member</w:t>
            </w:r>
            <w:r w:rsidRPr="00912E9B">
              <w:rPr>
                <w:rFonts w:asciiTheme="minorHAnsi" w:hAnsiTheme="minorHAnsi" w:cstheme="minorHAnsi"/>
                <w:sz w:val="22"/>
                <w:szCs w:val="22"/>
              </w:rPr>
              <w:t>.</w:t>
            </w:r>
          </w:p>
        </w:tc>
      </w:tr>
      <w:tr w:rsidR="00460658" w:rsidRPr="00912E9B" w14:paraId="156BD77E" w14:textId="77777777" w:rsidTr="00D40051">
        <w:trPr>
          <w:cantSplit/>
        </w:trPr>
        <w:tc>
          <w:tcPr>
            <w:tcW w:w="2298" w:type="dxa"/>
            <w:shd w:val="clear" w:color="auto" w:fill="auto"/>
            <w:vAlign w:val="center"/>
          </w:tcPr>
          <w:p w14:paraId="6674AA7E" w14:textId="41706F2E" w:rsidR="00460658" w:rsidRPr="00912E9B" w:rsidRDefault="00460658" w:rsidP="00460658">
            <w:pPr>
              <w:pStyle w:val="CERGlossaryTerm"/>
              <w:rPr>
                <w:rFonts w:asciiTheme="majorHAnsi" w:hAnsiTheme="majorHAnsi" w:cstheme="majorHAnsi"/>
                <w:sz w:val="22"/>
                <w:szCs w:val="22"/>
              </w:rPr>
            </w:pPr>
            <w:r w:rsidRPr="00912E9B">
              <w:rPr>
                <w:rFonts w:asciiTheme="majorHAnsi" w:hAnsiTheme="majorHAnsi" w:cstheme="majorHAnsi"/>
              </w:rPr>
              <w:t>Administrative</w:t>
            </w:r>
            <w:r w:rsidRPr="00912E9B">
              <w:rPr>
                <w:rFonts w:asciiTheme="majorHAnsi" w:hAnsiTheme="majorHAnsi" w:cstheme="majorHAnsi"/>
                <w:sz w:val="22"/>
                <w:szCs w:val="22"/>
              </w:rPr>
              <w:t xml:space="preserve"> Fee</w:t>
            </w:r>
          </w:p>
        </w:tc>
        <w:tc>
          <w:tcPr>
            <w:tcW w:w="7088" w:type="dxa"/>
            <w:shd w:val="clear" w:color="auto" w:fill="auto"/>
            <w:vAlign w:val="center"/>
          </w:tcPr>
          <w:p w14:paraId="24BD8389" w14:textId="116615E6" w:rsidR="00460658" w:rsidRPr="00912E9B" w:rsidRDefault="0046065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fee included into ALPEX Fee Schedule that an Applicant shall pay </w:t>
            </w:r>
            <w:proofErr w:type="gramStart"/>
            <w:r w:rsidRPr="00912E9B">
              <w:rPr>
                <w:rFonts w:asciiTheme="majorHAnsi" w:hAnsiTheme="majorHAnsi" w:cstheme="majorHAnsi"/>
                <w:sz w:val="22"/>
                <w:szCs w:val="22"/>
              </w:rPr>
              <w:t xml:space="preserve">in order </w:t>
            </w:r>
            <w:r w:rsidRPr="00912E9B">
              <w:rPr>
                <w:rFonts w:asciiTheme="majorHAnsi" w:hAnsiTheme="majorHAnsi" w:cstheme="majorHAnsi"/>
                <w:sz w:val="22"/>
                <w:szCs w:val="22"/>
                <w:lang w:val="en-US"/>
              </w:rPr>
              <w:t>for</w:t>
            </w:r>
            <w:proofErr w:type="gramEnd"/>
            <w:r w:rsidRPr="00912E9B">
              <w:rPr>
                <w:rFonts w:asciiTheme="majorHAnsi" w:hAnsiTheme="majorHAnsi" w:cstheme="majorHAnsi"/>
                <w:sz w:val="22"/>
                <w:szCs w:val="22"/>
                <w:lang w:val="en-US"/>
              </w:rPr>
              <w:t xml:space="preserve"> its application </w:t>
            </w:r>
            <w:r w:rsidRPr="00912E9B">
              <w:rPr>
                <w:rFonts w:asciiTheme="majorHAnsi" w:hAnsiTheme="majorHAnsi" w:cstheme="majorHAnsi"/>
                <w:sz w:val="22"/>
                <w:szCs w:val="22"/>
              </w:rPr>
              <w:t>to be evaluated.</w:t>
            </w:r>
          </w:p>
        </w:tc>
      </w:tr>
      <w:tr w:rsidR="009B7A31" w:rsidRPr="00912E9B" w14:paraId="05141F71" w14:textId="77777777" w:rsidTr="00D40051">
        <w:trPr>
          <w:cantSplit/>
        </w:trPr>
        <w:tc>
          <w:tcPr>
            <w:tcW w:w="2298" w:type="dxa"/>
            <w:shd w:val="clear" w:color="auto" w:fill="auto"/>
            <w:vAlign w:val="center"/>
          </w:tcPr>
          <w:p w14:paraId="3C3AF946" w14:textId="159D0A76" w:rsidR="00460658" w:rsidRPr="00912E9B" w:rsidRDefault="00460658" w:rsidP="00460658">
            <w:pPr>
              <w:pStyle w:val="CERGlossaryTerm"/>
              <w:rPr>
                <w:rFonts w:asciiTheme="majorHAnsi" w:hAnsiTheme="majorHAnsi" w:cstheme="majorHAnsi"/>
                <w:sz w:val="22"/>
                <w:szCs w:val="22"/>
              </w:rPr>
            </w:pPr>
            <w:r w:rsidRPr="00912E9B">
              <w:rPr>
                <w:rFonts w:asciiTheme="majorHAnsi" w:hAnsiTheme="majorHAnsi" w:cstheme="majorHAnsi"/>
                <w:sz w:val="22"/>
                <w:szCs w:val="22"/>
              </w:rPr>
              <w:t>Admission</w:t>
            </w:r>
          </w:p>
        </w:tc>
        <w:tc>
          <w:tcPr>
            <w:tcW w:w="7088" w:type="dxa"/>
            <w:shd w:val="clear" w:color="auto" w:fill="auto"/>
            <w:vAlign w:val="center"/>
          </w:tcPr>
          <w:p w14:paraId="3D79CF57" w14:textId="469AFF67" w:rsidR="00460658" w:rsidRPr="00912E9B" w:rsidRDefault="0046065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initial process</w:t>
            </w:r>
            <w:r w:rsidRPr="00912E9B">
              <w:rPr>
                <w:rFonts w:asciiTheme="majorHAnsi" w:hAnsiTheme="majorHAnsi" w:cstheme="majorHAnsi"/>
                <w:sz w:val="22"/>
                <w:szCs w:val="22"/>
                <w:lang w:val="en-US"/>
              </w:rPr>
              <w:t>,</w:t>
            </w:r>
            <w:r w:rsidRPr="00912E9B">
              <w:rPr>
                <w:rFonts w:asciiTheme="majorHAnsi" w:hAnsiTheme="majorHAnsi" w:cstheme="majorHAnsi"/>
                <w:sz w:val="22"/>
                <w:szCs w:val="22"/>
              </w:rPr>
              <w:t xml:space="preserve"> under which the </w:t>
            </w:r>
            <w:r w:rsidR="00A66326" w:rsidRPr="00912E9B">
              <w:rPr>
                <w:rFonts w:asciiTheme="majorHAnsi" w:hAnsiTheme="majorHAnsi" w:cstheme="majorHAnsi"/>
                <w:sz w:val="22"/>
                <w:szCs w:val="22"/>
              </w:rPr>
              <w:t>A</w:t>
            </w:r>
            <w:r w:rsidRPr="00912E9B">
              <w:rPr>
                <w:rFonts w:asciiTheme="majorHAnsi" w:hAnsiTheme="majorHAnsi" w:cstheme="majorHAnsi"/>
                <w:sz w:val="22"/>
                <w:szCs w:val="22"/>
              </w:rPr>
              <w:t>pplicant becomes eligible to continue the procedures for fulfilment of technical, legal, and economic requirements set out by ALPEX until execution of the Exchange Membership Agreement</w:t>
            </w:r>
            <w:r w:rsidRPr="00912E9B">
              <w:rPr>
                <w:rFonts w:asciiTheme="majorHAnsi" w:hAnsiTheme="majorHAnsi" w:cstheme="majorHAnsi"/>
                <w:sz w:val="22"/>
                <w:szCs w:val="22"/>
                <w:lang w:val="en-US"/>
              </w:rPr>
              <w:t>.</w:t>
            </w:r>
            <w:r w:rsidRPr="00912E9B">
              <w:rPr>
                <w:rFonts w:asciiTheme="majorHAnsi" w:hAnsiTheme="majorHAnsi" w:cstheme="majorHAnsi"/>
                <w:sz w:val="22"/>
                <w:szCs w:val="22"/>
              </w:rPr>
              <w:t xml:space="preserve"> </w:t>
            </w:r>
          </w:p>
        </w:tc>
      </w:tr>
      <w:tr w:rsidR="00214F17" w:rsidRPr="00912E9B" w14:paraId="01E2823B" w14:textId="77777777" w:rsidTr="00D40051">
        <w:trPr>
          <w:cantSplit/>
        </w:trPr>
        <w:tc>
          <w:tcPr>
            <w:tcW w:w="2298" w:type="dxa"/>
            <w:shd w:val="clear" w:color="auto" w:fill="auto"/>
            <w:vAlign w:val="center"/>
          </w:tcPr>
          <w:p w14:paraId="607A69D1" w14:textId="2C577BC5" w:rsidR="00214F17" w:rsidRPr="00912E9B" w:rsidRDefault="00214F17" w:rsidP="00214F17">
            <w:pPr>
              <w:pStyle w:val="CERGlossaryTerm"/>
              <w:rPr>
                <w:rFonts w:asciiTheme="minorHAnsi" w:hAnsiTheme="minorHAnsi" w:cstheme="minorHAnsi"/>
                <w:sz w:val="22"/>
                <w:szCs w:val="22"/>
              </w:rPr>
            </w:pPr>
            <w:r w:rsidRPr="00912E9B">
              <w:rPr>
                <w:rFonts w:asciiTheme="majorHAnsi" w:hAnsiTheme="majorHAnsi" w:cstheme="majorHAnsi"/>
                <w:sz w:val="22"/>
                <w:szCs w:val="22"/>
              </w:rPr>
              <w:t>Admission Dispute</w:t>
            </w:r>
          </w:p>
        </w:tc>
        <w:tc>
          <w:tcPr>
            <w:tcW w:w="7088" w:type="dxa"/>
            <w:shd w:val="clear" w:color="auto" w:fill="auto"/>
            <w:vAlign w:val="center"/>
          </w:tcPr>
          <w:p w14:paraId="533A6286" w14:textId="33340557" w:rsidR="00214F17" w:rsidRPr="00912E9B" w:rsidRDefault="00214F17" w:rsidP="00D40051">
            <w:pPr>
              <w:pStyle w:val="CERGlossaryDefinition"/>
              <w:rPr>
                <w:rFonts w:asciiTheme="minorHAnsi" w:hAnsiTheme="minorHAnsi" w:cstheme="minorHAnsi"/>
                <w:sz w:val="22"/>
                <w:szCs w:val="22"/>
              </w:rPr>
            </w:pPr>
            <w:r w:rsidRPr="00912E9B">
              <w:rPr>
                <w:rFonts w:asciiTheme="majorHAnsi" w:hAnsiTheme="majorHAnsi" w:cstheme="majorHAnsi"/>
                <w:sz w:val="22"/>
                <w:szCs w:val="22"/>
              </w:rPr>
              <w:t>means a Dispute arising regarding the Admission Process</w:t>
            </w:r>
            <w:r w:rsidRPr="00912E9B">
              <w:rPr>
                <w:rFonts w:asciiTheme="majorHAnsi" w:hAnsiTheme="majorHAnsi" w:cstheme="majorHAnsi"/>
                <w:sz w:val="22"/>
                <w:szCs w:val="22"/>
                <w:lang w:val="en-US"/>
              </w:rPr>
              <w:t>.</w:t>
            </w:r>
          </w:p>
        </w:tc>
      </w:tr>
      <w:tr w:rsidR="009B7A31" w:rsidRPr="00912E9B" w14:paraId="50FD5E63" w14:textId="77777777" w:rsidTr="00D40051">
        <w:trPr>
          <w:cantSplit/>
        </w:trPr>
        <w:tc>
          <w:tcPr>
            <w:tcW w:w="2298" w:type="dxa"/>
            <w:shd w:val="clear" w:color="auto" w:fill="auto"/>
            <w:vAlign w:val="center"/>
          </w:tcPr>
          <w:p w14:paraId="2B682807" w14:textId="28DC9BAC" w:rsidR="00214F17" w:rsidRPr="00912E9B" w:rsidRDefault="00214F17" w:rsidP="00214F17">
            <w:pPr>
              <w:pStyle w:val="CERGlossaryTerm"/>
              <w:rPr>
                <w:rFonts w:asciiTheme="majorHAnsi" w:hAnsiTheme="majorHAnsi" w:cstheme="majorHAnsi"/>
                <w:sz w:val="22"/>
                <w:szCs w:val="22"/>
              </w:rPr>
            </w:pPr>
            <w:r w:rsidRPr="00912E9B">
              <w:rPr>
                <w:rFonts w:asciiTheme="minorHAnsi" w:hAnsiTheme="minorHAnsi" w:cstheme="minorHAnsi"/>
                <w:sz w:val="22"/>
                <w:szCs w:val="22"/>
              </w:rPr>
              <w:t>Admission Notice</w:t>
            </w:r>
          </w:p>
        </w:tc>
        <w:tc>
          <w:tcPr>
            <w:tcW w:w="7088" w:type="dxa"/>
            <w:shd w:val="clear" w:color="auto" w:fill="auto"/>
            <w:vAlign w:val="center"/>
          </w:tcPr>
          <w:p w14:paraId="55D46A43" w14:textId="324CDCF8" w:rsidR="00214F17" w:rsidRPr="00912E9B" w:rsidRDefault="00214F17"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a Notice specifying when a Party will be considered as eligible to be the Clearing Member </w:t>
            </w:r>
          </w:p>
        </w:tc>
      </w:tr>
      <w:tr w:rsidR="009B7A31" w:rsidRPr="00912E9B" w14:paraId="3BB5065A" w14:textId="77777777" w:rsidTr="00D40051">
        <w:trPr>
          <w:cantSplit/>
        </w:trPr>
        <w:tc>
          <w:tcPr>
            <w:tcW w:w="2298" w:type="dxa"/>
            <w:shd w:val="clear" w:color="auto" w:fill="auto"/>
            <w:vAlign w:val="center"/>
          </w:tcPr>
          <w:p w14:paraId="3F6AE65D" w14:textId="5CD31BE1" w:rsidR="00214F17" w:rsidRPr="00912E9B" w:rsidRDefault="00214F17" w:rsidP="00214F17">
            <w:pPr>
              <w:pStyle w:val="CERGlossaryTerm"/>
              <w:rPr>
                <w:rFonts w:asciiTheme="majorHAnsi" w:hAnsiTheme="majorHAnsi" w:cstheme="majorHAnsi"/>
                <w:sz w:val="22"/>
                <w:szCs w:val="22"/>
              </w:rPr>
            </w:pPr>
            <w:r w:rsidRPr="00912E9B">
              <w:rPr>
                <w:rFonts w:asciiTheme="minorHAnsi" w:hAnsiTheme="minorHAnsi" w:cstheme="minorHAnsi"/>
                <w:sz w:val="22"/>
                <w:szCs w:val="22"/>
              </w:rPr>
              <w:t>Affected Party</w:t>
            </w:r>
          </w:p>
        </w:tc>
        <w:tc>
          <w:tcPr>
            <w:tcW w:w="7088" w:type="dxa"/>
            <w:shd w:val="clear" w:color="auto" w:fill="auto"/>
            <w:vAlign w:val="center"/>
          </w:tcPr>
          <w:p w14:paraId="03144559" w14:textId="29E16B38" w:rsidR="00214F17" w:rsidRPr="00912E9B" w:rsidRDefault="00214F17" w:rsidP="00D40051">
            <w:pPr>
              <w:pStyle w:val="CERGlossaryDefinition"/>
              <w:rPr>
                <w:rFonts w:asciiTheme="majorHAnsi" w:hAnsiTheme="majorHAnsi" w:cstheme="majorHAnsi"/>
                <w:sz w:val="22"/>
                <w:szCs w:val="22"/>
              </w:rPr>
            </w:pPr>
            <w:r w:rsidRPr="00912E9B">
              <w:t>means a Party, other than the ALPEX, affected by Force Majeure.</w:t>
            </w:r>
          </w:p>
        </w:tc>
      </w:tr>
      <w:tr w:rsidR="009B7A31" w:rsidRPr="00912E9B" w14:paraId="04D6543D" w14:textId="77777777" w:rsidTr="00D40051">
        <w:trPr>
          <w:cantSplit/>
        </w:trPr>
        <w:tc>
          <w:tcPr>
            <w:tcW w:w="2298" w:type="dxa"/>
            <w:shd w:val="clear" w:color="auto" w:fill="auto"/>
            <w:vAlign w:val="center"/>
          </w:tcPr>
          <w:p w14:paraId="7006D590" w14:textId="7080D037" w:rsidR="00214F17" w:rsidRPr="00912E9B" w:rsidRDefault="00214F17" w:rsidP="00214F17">
            <w:pPr>
              <w:pStyle w:val="CERGlossaryTerm"/>
              <w:rPr>
                <w:rFonts w:asciiTheme="majorHAnsi" w:hAnsiTheme="majorHAnsi" w:cstheme="majorHAnsi"/>
                <w:sz w:val="22"/>
                <w:szCs w:val="22"/>
              </w:rPr>
            </w:pPr>
            <w:r w:rsidRPr="00912E9B">
              <w:rPr>
                <w:rFonts w:asciiTheme="minorHAnsi" w:hAnsiTheme="minorHAnsi" w:cstheme="minorHAnsi"/>
                <w:sz w:val="22"/>
                <w:szCs w:val="22"/>
              </w:rPr>
              <w:t>Aggregated Hourly Order</w:t>
            </w:r>
          </w:p>
        </w:tc>
        <w:tc>
          <w:tcPr>
            <w:tcW w:w="7088" w:type="dxa"/>
            <w:shd w:val="clear" w:color="auto" w:fill="auto"/>
            <w:vAlign w:val="center"/>
          </w:tcPr>
          <w:p w14:paraId="513BF943" w14:textId="2F0CDD3B" w:rsidR="00214F17" w:rsidRPr="00912E9B" w:rsidRDefault="00214F1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The single curve resulting from all Buy (or Sell) Orders of all </w:t>
            </w:r>
            <w:r w:rsidR="00CD365B" w:rsidRPr="00912E9B">
              <w:rPr>
                <w:rFonts w:asciiTheme="majorHAnsi" w:hAnsiTheme="majorHAnsi" w:cstheme="majorHAnsi"/>
                <w:sz w:val="22"/>
                <w:szCs w:val="22"/>
              </w:rPr>
              <w:t>Exchange Members</w:t>
            </w:r>
            <w:r w:rsidRPr="00912E9B">
              <w:rPr>
                <w:rFonts w:asciiTheme="majorHAnsi" w:hAnsiTheme="majorHAnsi" w:cstheme="majorHAnsi"/>
                <w:sz w:val="22"/>
                <w:szCs w:val="22"/>
              </w:rPr>
              <w:t xml:space="preserve"> in the same Bidding Zone for each Market Time Unit.</w:t>
            </w:r>
          </w:p>
        </w:tc>
      </w:tr>
      <w:tr w:rsidR="009B7A31" w:rsidRPr="00912E9B" w14:paraId="319D0258" w14:textId="77777777" w:rsidTr="00D40051">
        <w:trPr>
          <w:cantSplit/>
        </w:trPr>
        <w:tc>
          <w:tcPr>
            <w:tcW w:w="2298" w:type="dxa"/>
            <w:shd w:val="clear" w:color="auto" w:fill="auto"/>
            <w:vAlign w:val="center"/>
          </w:tcPr>
          <w:p w14:paraId="6A72FD1B" w14:textId="41D67DC2" w:rsidR="00214F17" w:rsidRPr="00912E9B" w:rsidRDefault="00214F17" w:rsidP="00214F17">
            <w:pPr>
              <w:pStyle w:val="CERGlossaryTerm"/>
              <w:rPr>
                <w:rFonts w:asciiTheme="majorHAnsi" w:hAnsiTheme="majorHAnsi" w:cstheme="majorHAnsi"/>
                <w:sz w:val="22"/>
                <w:szCs w:val="22"/>
              </w:rPr>
            </w:pPr>
            <w:r w:rsidRPr="00912E9B">
              <w:rPr>
                <w:rFonts w:asciiTheme="majorHAnsi" w:hAnsiTheme="majorHAnsi" w:cstheme="majorHAnsi"/>
                <w:sz w:val="22"/>
                <w:szCs w:val="22"/>
              </w:rPr>
              <w:t>Albania</w:t>
            </w:r>
          </w:p>
        </w:tc>
        <w:tc>
          <w:tcPr>
            <w:tcW w:w="7088" w:type="dxa"/>
            <w:shd w:val="clear" w:color="auto" w:fill="auto"/>
            <w:vAlign w:val="center"/>
          </w:tcPr>
          <w:p w14:paraId="5864E473" w14:textId="5CA34B59" w:rsidR="00214F17" w:rsidRPr="00912E9B" w:rsidRDefault="00214F1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Republic of Albania.</w:t>
            </w:r>
          </w:p>
        </w:tc>
      </w:tr>
      <w:tr w:rsidR="009B7A31" w:rsidRPr="00912E9B" w14:paraId="4325AE46" w14:textId="77777777" w:rsidTr="00D40051">
        <w:trPr>
          <w:cantSplit/>
        </w:trPr>
        <w:tc>
          <w:tcPr>
            <w:tcW w:w="2298" w:type="dxa"/>
            <w:shd w:val="clear" w:color="auto" w:fill="auto"/>
            <w:vAlign w:val="center"/>
          </w:tcPr>
          <w:p w14:paraId="2D8BEE7C" w14:textId="399677E3" w:rsidR="00214F17" w:rsidRPr="00912E9B" w:rsidRDefault="00214F17" w:rsidP="00214F17">
            <w:pPr>
              <w:pStyle w:val="CERGlossaryTerm"/>
              <w:rPr>
                <w:rFonts w:asciiTheme="majorHAnsi" w:hAnsiTheme="majorHAnsi" w:cstheme="majorHAnsi"/>
                <w:sz w:val="22"/>
                <w:szCs w:val="22"/>
              </w:rPr>
            </w:pPr>
            <w:r w:rsidRPr="00912E9B">
              <w:rPr>
                <w:rFonts w:asciiTheme="majorHAnsi" w:hAnsiTheme="majorHAnsi" w:cstheme="majorHAnsi"/>
                <w:sz w:val="22"/>
                <w:szCs w:val="22"/>
              </w:rPr>
              <w:t>Albania Power Market Model</w:t>
            </w:r>
          </w:p>
        </w:tc>
        <w:tc>
          <w:tcPr>
            <w:tcW w:w="7088" w:type="dxa"/>
            <w:shd w:val="clear" w:color="auto" w:fill="auto"/>
            <w:vAlign w:val="center"/>
          </w:tcPr>
          <w:p w14:paraId="6C48E27C" w14:textId="7E1912A5" w:rsidR="00214F17" w:rsidRPr="00912E9B" w:rsidRDefault="00214F1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Decision of the Council of Ministers No. 519, date 13.07.2016 “On approval of the power market model”</w:t>
            </w:r>
            <w:r w:rsidRPr="00912E9B">
              <w:rPr>
                <w:rFonts w:asciiTheme="majorHAnsi" w:hAnsiTheme="majorHAnsi" w:cstheme="majorBidi"/>
                <w:sz w:val="21"/>
                <w:szCs w:val="21"/>
              </w:rPr>
              <w:t xml:space="preserve"> as amended </w:t>
            </w:r>
            <w:r w:rsidR="00602BC6" w:rsidRPr="00912E9B">
              <w:rPr>
                <w:rFonts w:asciiTheme="majorHAnsi" w:hAnsiTheme="majorHAnsi" w:cstheme="majorBidi"/>
                <w:sz w:val="21"/>
                <w:szCs w:val="21"/>
              </w:rPr>
              <w:t>and in</w:t>
            </w:r>
            <w:r w:rsidRPr="00912E9B">
              <w:rPr>
                <w:rFonts w:asciiTheme="majorHAnsi" w:hAnsiTheme="majorHAnsi" w:cstheme="majorBidi"/>
                <w:sz w:val="21"/>
                <w:szCs w:val="21"/>
              </w:rPr>
              <w:t xml:space="preserve"> force</w:t>
            </w:r>
            <w:r w:rsidRPr="00912E9B">
              <w:rPr>
                <w:rFonts w:asciiTheme="majorHAnsi" w:hAnsiTheme="majorHAnsi" w:cstheme="majorHAnsi"/>
                <w:sz w:val="22"/>
                <w:szCs w:val="22"/>
              </w:rPr>
              <w:t>.</w:t>
            </w:r>
          </w:p>
        </w:tc>
      </w:tr>
      <w:tr w:rsidR="009B7A31" w:rsidRPr="00912E9B" w14:paraId="69B061F7" w14:textId="77777777" w:rsidTr="00D40051">
        <w:trPr>
          <w:cantSplit/>
        </w:trPr>
        <w:tc>
          <w:tcPr>
            <w:tcW w:w="2298" w:type="dxa"/>
            <w:shd w:val="clear" w:color="auto" w:fill="auto"/>
            <w:vAlign w:val="center"/>
          </w:tcPr>
          <w:p w14:paraId="24AE47A2" w14:textId="1E61C887" w:rsidR="00B76954" w:rsidRPr="00912E9B" w:rsidRDefault="00B76954" w:rsidP="00B76954">
            <w:pPr>
              <w:pStyle w:val="CERGlossaryTerm"/>
              <w:rPr>
                <w:rFonts w:asciiTheme="majorHAnsi" w:hAnsiTheme="majorHAnsi" w:cstheme="majorHAnsi"/>
                <w:sz w:val="22"/>
                <w:szCs w:val="22"/>
              </w:rPr>
            </w:pPr>
            <w:r w:rsidRPr="00912E9B">
              <w:rPr>
                <w:rFonts w:asciiTheme="majorHAnsi" w:hAnsiTheme="majorHAnsi" w:cstheme="majorHAnsi"/>
                <w:sz w:val="22"/>
                <w:szCs w:val="22"/>
              </w:rPr>
              <w:t>Albanian Energy Regulator Authority (ERE)</w:t>
            </w:r>
          </w:p>
        </w:tc>
        <w:tc>
          <w:tcPr>
            <w:tcW w:w="7088" w:type="dxa"/>
            <w:shd w:val="clear" w:color="auto" w:fill="auto"/>
            <w:vAlign w:val="center"/>
          </w:tcPr>
          <w:p w14:paraId="4CFEE552" w14:textId="2856A090"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regulatory institution of electricity and natural gas sectors, which operates according to Law No. 43/2015, dated 30.04.2015 “On power sector” and Law No. 102/2015 “On natural gas sector”, both as amended and in force.</w:t>
            </w:r>
          </w:p>
        </w:tc>
      </w:tr>
      <w:tr w:rsidR="009B7A31" w:rsidRPr="00912E9B" w14:paraId="78A68A43" w14:textId="77777777" w:rsidTr="00D40051">
        <w:trPr>
          <w:cantSplit/>
        </w:trPr>
        <w:tc>
          <w:tcPr>
            <w:tcW w:w="2298" w:type="dxa"/>
            <w:shd w:val="clear" w:color="auto" w:fill="auto"/>
            <w:vAlign w:val="center"/>
          </w:tcPr>
          <w:p w14:paraId="7F486DAD" w14:textId="6741450C" w:rsidR="00B76954" w:rsidRPr="00912E9B" w:rsidRDefault="00B76954" w:rsidP="00B76954">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Albanian Power Exchange (ALPEX)</w:t>
            </w:r>
          </w:p>
        </w:tc>
        <w:tc>
          <w:tcPr>
            <w:tcW w:w="7088" w:type="dxa"/>
            <w:shd w:val="clear" w:color="auto" w:fill="auto"/>
            <w:vAlign w:val="center"/>
          </w:tcPr>
          <w:p w14:paraId="18A47844" w14:textId="3E3F8C7F" w:rsidR="00B76954" w:rsidRPr="00912E9B" w:rsidRDefault="00B76954" w:rsidP="00D40051">
            <w:pPr>
              <w:pStyle w:val="CERGlossaryDefinition"/>
              <w:rPr>
                <w:rFonts w:asciiTheme="majorHAnsi" w:hAnsiTheme="majorHAnsi" w:cstheme="majorBidi"/>
                <w:sz w:val="22"/>
                <w:szCs w:val="22"/>
              </w:rPr>
            </w:pPr>
            <w:r w:rsidRPr="00912E9B">
              <w:rPr>
                <w:rFonts w:asciiTheme="majorHAnsi" w:hAnsiTheme="majorHAnsi" w:cstheme="majorBidi"/>
                <w:sz w:val="22"/>
                <w:szCs w:val="22"/>
              </w:rPr>
              <w:t xml:space="preserve">means the responsible entity for managing the organized electricity markets in Albania, in accordance with Law no. 43/2015 “On Power Sector” </w:t>
            </w:r>
            <w:r w:rsidRPr="00912E9B">
              <w:rPr>
                <w:rFonts w:asciiTheme="majorHAnsi" w:hAnsiTheme="majorHAnsi" w:cstheme="majorBidi"/>
                <w:sz w:val="21"/>
                <w:szCs w:val="21"/>
              </w:rPr>
              <w:t>as amended and in force</w:t>
            </w:r>
            <w:r w:rsidRPr="00912E9B">
              <w:rPr>
                <w:rFonts w:asciiTheme="majorHAnsi" w:hAnsiTheme="majorHAnsi" w:cstheme="majorBidi"/>
                <w:sz w:val="22"/>
                <w:szCs w:val="22"/>
              </w:rPr>
              <w:t>, and in Kosovo base on the ERO decision number: V_1332_2020 and Agreement between KOSTT and ALPEX signed at dd.mm.2022.</w:t>
            </w:r>
          </w:p>
        </w:tc>
      </w:tr>
      <w:tr w:rsidR="009B7A31" w:rsidRPr="00912E9B" w14:paraId="6A5FF551" w14:textId="77777777" w:rsidTr="00D40051">
        <w:trPr>
          <w:cantSplit/>
        </w:trPr>
        <w:tc>
          <w:tcPr>
            <w:tcW w:w="2298" w:type="dxa"/>
            <w:shd w:val="clear" w:color="auto" w:fill="auto"/>
            <w:vAlign w:val="center"/>
          </w:tcPr>
          <w:p w14:paraId="43CF6074" w14:textId="3A4DDE1C" w:rsidR="00B76954" w:rsidRPr="00912E9B" w:rsidRDefault="00B76954" w:rsidP="00B76954">
            <w:pPr>
              <w:pStyle w:val="CERGlossaryTerm"/>
              <w:rPr>
                <w:rFonts w:asciiTheme="majorHAnsi" w:hAnsiTheme="majorHAnsi" w:cstheme="majorHAnsi"/>
                <w:sz w:val="22"/>
                <w:szCs w:val="22"/>
              </w:rPr>
            </w:pPr>
            <w:r w:rsidRPr="00912E9B">
              <w:rPr>
                <w:rFonts w:asciiTheme="minorHAnsi" w:hAnsiTheme="minorHAnsi" w:cstheme="minorHAnsi"/>
                <w:sz w:val="22"/>
                <w:szCs w:val="22"/>
              </w:rPr>
              <w:t>Allocation Constraints</w:t>
            </w:r>
          </w:p>
        </w:tc>
        <w:tc>
          <w:tcPr>
            <w:tcW w:w="7088" w:type="dxa"/>
            <w:shd w:val="clear" w:color="auto" w:fill="auto"/>
            <w:vAlign w:val="center"/>
          </w:tcPr>
          <w:p w14:paraId="05B420EE" w14:textId="4189F92A"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constraints to be respected during capacity allocation to maintain the transmission system within operational security limits and have not been translated into Cross Zonal Capacity.</w:t>
            </w:r>
          </w:p>
        </w:tc>
      </w:tr>
      <w:tr w:rsidR="009B7A31" w:rsidRPr="00912E9B" w14:paraId="5184ED1E" w14:textId="77777777" w:rsidTr="00D40051">
        <w:trPr>
          <w:cantSplit/>
        </w:trPr>
        <w:tc>
          <w:tcPr>
            <w:tcW w:w="2298" w:type="dxa"/>
            <w:shd w:val="clear" w:color="auto" w:fill="auto"/>
            <w:vAlign w:val="center"/>
          </w:tcPr>
          <w:p w14:paraId="177D9F77" w14:textId="75EDBD61" w:rsidR="00B76954" w:rsidRPr="00912E9B" w:rsidRDefault="00B76954" w:rsidP="00B76954">
            <w:pPr>
              <w:pStyle w:val="CERGlossaryTerm"/>
              <w:rPr>
                <w:rFonts w:asciiTheme="majorHAnsi" w:hAnsiTheme="majorHAnsi" w:cstheme="majorHAnsi"/>
                <w:sz w:val="22"/>
                <w:szCs w:val="22"/>
              </w:rPr>
            </w:pPr>
            <w:r w:rsidRPr="00912E9B">
              <w:rPr>
                <w:rFonts w:asciiTheme="minorHAnsi" w:hAnsiTheme="minorHAnsi" w:cstheme="minorHAnsi"/>
                <w:sz w:val="22"/>
                <w:szCs w:val="22"/>
              </w:rPr>
              <w:t>All-Or-None - AON Condition</w:t>
            </w:r>
          </w:p>
        </w:tc>
        <w:tc>
          <w:tcPr>
            <w:tcW w:w="7088" w:type="dxa"/>
            <w:shd w:val="clear" w:color="auto" w:fill="auto"/>
            <w:vAlign w:val="center"/>
          </w:tcPr>
          <w:p w14:paraId="495B6029" w14:textId="3C871E5C"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Has the meaning given in paragraph D.1.6.4 of the Trading Procedures.</w:t>
            </w:r>
          </w:p>
        </w:tc>
      </w:tr>
      <w:tr w:rsidR="009B7A31" w:rsidRPr="00912E9B" w14:paraId="21446596" w14:textId="77777777" w:rsidTr="00D40051">
        <w:trPr>
          <w:cantSplit/>
        </w:trPr>
        <w:tc>
          <w:tcPr>
            <w:tcW w:w="2298" w:type="dxa"/>
            <w:shd w:val="clear" w:color="auto" w:fill="auto"/>
            <w:vAlign w:val="center"/>
          </w:tcPr>
          <w:p w14:paraId="43DAFCED" w14:textId="0C0E5C46" w:rsidR="00B76954" w:rsidRPr="00912E9B" w:rsidRDefault="00B76954" w:rsidP="00B76954">
            <w:pPr>
              <w:pStyle w:val="CERGlossaryTerm"/>
              <w:rPr>
                <w:rFonts w:asciiTheme="majorHAnsi" w:hAnsiTheme="majorHAnsi" w:cstheme="majorHAnsi"/>
                <w:sz w:val="22"/>
                <w:szCs w:val="22"/>
              </w:rPr>
            </w:pPr>
            <w:r w:rsidRPr="00912E9B">
              <w:rPr>
                <w:rFonts w:asciiTheme="minorHAnsi" w:hAnsiTheme="minorHAnsi" w:cstheme="minorHAnsi"/>
                <w:sz w:val="22"/>
                <w:szCs w:val="22"/>
              </w:rPr>
              <w:t>ALPEX Account</w:t>
            </w:r>
          </w:p>
        </w:tc>
        <w:tc>
          <w:tcPr>
            <w:tcW w:w="7088" w:type="dxa"/>
            <w:shd w:val="clear" w:color="auto" w:fill="auto"/>
            <w:vAlign w:val="center"/>
          </w:tcPr>
          <w:p w14:paraId="4325EEBB" w14:textId="5AA129AB" w:rsidR="00B76954" w:rsidRPr="00912E9B" w:rsidRDefault="00B76954"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the Bank Account in the name of the ALPEX held into the Settlement Bank to and from which Trading Payments and Trading Charges under the Clearing and Settlement Procedures are made. </w:t>
            </w:r>
          </w:p>
        </w:tc>
      </w:tr>
      <w:tr w:rsidR="009B7A31" w:rsidRPr="00912E9B" w14:paraId="03C8D060" w14:textId="77777777" w:rsidTr="00D40051">
        <w:trPr>
          <w:cantSplit/>
        </w:trPr>
        <w:tc>
          <w:tcPr>
            <w:tcW w:w="2298" w:type="dxa"/>
            <w:shd w:val="clear" w:color="auto" w:fill="auto"/>
            <w:vAlign w:val="center"/>
          </w:tcPr>
          <w:p w14:paraId="7AE8306C" w14:textId="195EF76B" w:rsidR="00B76954" w:rsidRPr="00912E9B" w:rsidRDefault="00B76954" w:rsidP="00B76954">
            <w:pPr>
              <w:pStyle w:val="CERGlossaryTerm"/>
              <w:rPr>
                <w:rFonts w:asciiTheme="minorHAnsi" w:hAnsiTheme="minorHAnsi" w:cstheme="minorHAnsi"/>
                <w:sz w:val="22"/>
                <w:szCs w:val="22"/>
              </w:rPr>
            </w:pPr>
            <w:r w:rsidRPr="00912E9B">
              <w:rPr>
                <w:rFonts w:asciiTheme="minorHAnsi" w:hAnsiTheme="minorHAnsi" w:cstheme="minorHAnsi"/>
                <w:sz w:val="22"/>
                <w:szCs w:val="22"/>
              </w:rPr>
              <w:t>ALPEX Creditor</w:t>
            </w:r>
          </w:p>
        </w:tc>
        <w:tc>
          <w:tcPr>
            <w:tcW w:w="7088" w:type="dxa"/>
            <w:shd w:val="clear" w:color="auto" w:fill="auto"/>
            <w:vAlign w:val="center"/>
          </w:tcPr>
          <w:p w14:paraId="3896946C" w14:textId="0721727B" w:rsidR="00B76954" w:rsidRPr="00912E9B" w:rsidRDefault="00B76954" w:rsidP="00D40051">
            <w:pPr>
              <w:pStyle w:val="CERGlossaryDefinition"/>
              <w:rPr>
                <w:rFonts w:asciiTheme="minorHAnsi" w:hAnsiTheme="minorHAnsi" w:cstheme="minorHAnsi"/>
                <w:sz w:val="22"/>
                <w:szCs w:val="22"/>
              </w:rPr>
            </w:pPr>
            <w:r w:rsidRPr="00912E9B">
              <w:rPr>
                <w:rFonts w:asciiTheme="minorHAnsi" w:hAnsiTheme="minorHAnsi" w:cstheme="minorHAnsi"/>
                <w:sz w:val="22"/>
                <w:szCs w:val="22"/>
              </w:rPr>
              <w:t>means a Clearing Member to which payments are due under the Clearing and Settlement Procedures.</w:t>
            </w:r>
          </w:p>
        </w:tc>
      </w:tr>
      <w:tr w:rsidR="009B7A31" w:rsidRPr="00912E9B" w14:paraId="1D7A4FC4" w14:textId="77777777" w:rsidTr="00D40051">
        <w:trPr>
          <w:cantSplit/>
        </w:trPr>
        <w:tc>
          <w:tcPr>
            <w:tcW w:w="2298" w:type="dxa"/>
            <w:shd w:val="clear" w:color="auto" w:fill="auto"/>
            <w:vAlign w:val="center"/>
          </w:tcPr>
          <w:p w14:paraId="12BAA308" w14:textId="241D4DE2" w:rsidR="00B76954" w:rsidRPr="00912E9B" w:rsidRDefault="00B76954" w:rsidP="00B76954">
            <w:pPr>
              <w:pStyle w:val="CERGlossaryTerm"/>
              <w:rPr>
                <w:rFonts w:asciiTheme="minorHAnsi" w:hAnsiTheme="minorHAnsi" w:cstheme="minorHAnsi"/>
                <w:sz w:val="22"/>
                <w:szCs w:val="22"/>
              </w:rPr>
            </w:pPr>
            <w:r w:rsidRPr="00912E9B">
              <w:rPr>
                <w:rFonts w:asciiTheme="minorHAnsi" w:hAnsiTheme="minorHAnsi" w:cstheme="minorHAnsi"/>
                <w:sz w:val="22"/>
                <w:szCs w:val="22"/>
              </w:rPr>
              <w:t>ALPEX Debtor</w:t>
            </w:r>
          </w:p>
        </w:tc>
        <w:tc>
          <w:tcPr>
            <w:tcW w:w="7088" w:type="dxa"/>
            <w:shd w:val="clear" w:color="auto" w:fill="auto"/>
            <w:vAlign w:val="center"/>
          </w:tcPr>
          <w:p w14:paraId="1D0D2CBF" w14:textId="13418EC7" w:rsidR="00B76954" w:rsidRPr="00912E9B" w:rsidRDefault="00B76954" w:rsidP="00D40051">
            <w:pPr>
              <w:pStyle w:val="CERGlossaryDefinition"/>
              <w:rPr>
                <w:rFonts w:asciiTheme="minorHAnsi" w:hAnsiTheme="minorHAnsi" w:cstheme="minorHAnsi"/>
                <w:sz w:val="22"/>
                <w:szCs w:val="22"/>
              </w:rPr>
            </w:pPr>
            <w:r w:rsidRPr="00912E9B">
              <w:rPr>
                <w:rFonts w:asciiTheme="minorHAnsi" w:hAnsiTheme="minorHAnsi" w:cstheme="minorHAnsi"/>
                <w:sz w:val="22"/>
                <w:szCs w:val="22"/>
              </w:rPr>
              <w:t>means an Exchange Member from which payments are due under the Clearing and Settlement Procedures</w:t>
            </w:r>
          </w:p>
        </w:tc>
      </w:tr>
      <w:tr w:rsidR="009B7A31" w:rsidRPr="00912E9B" w14:paraId="5EB9D2E3" w14:textId="77777777" w:rsidTr="00D40051">
        <w:trPr>
          <w:cantSplit/>
        </w:trPr>
        <w:tc>
          <w:tcPr>
            <w:tcW w:w="2298" w:type="dxa"/>
            <w:shd w:val="clear" w:color="auto" w:fill="auto"/>
            <w:vAlign w:val="center"/>
          </w:tcPr>
          <w:p w14:paraId="2FEE9A3C" w14:textId="36323F57" w:rsidR="00B76954" w:rsidRPr="00912E9B" w:rsidRDefault="00B76954" w:rsidP="00B76954">
            <w:pPr>
              <w:pStyle w:val="CERGlossaryTerm"/>
              <w:rPr>
                <w:rFonts w:asciiTheme="minorHAnsi" w:hAnsiTheme="minorHAnsi" w:cstheme="minorHAnsi"/>
                <w:sz w:val="22"/>
                <w:szCs w:val="22"/>
              </w:rPr>
            </w:pPr>
            <w:r w:rsidRPr="00912E9B">
              <w:rPr>
                <w:rFonts w:asciiTheme="minorHAnsi" w:hAnsiTheme="minorHAnsi" w:cstheme="minorHAnsi"/>
                <w:sz w:val="22"/>
                <w:szCs w:val="22"/>
              </w:rPr>
              <w:t>ALPEX Decisions</w:t>
            </w:r>
          </w:p>
        </w:tc>
        <w:tc>
          <w:tcPr>
            <w:tcW w:w="7088" w:type="dxa"/>
            <w:shd w:val="clear" w:color="auto" w:fill="auto"/>
            <w:vAlign w:val="center"/>
          </w:tcPr>
          <w:p w14:paraId="6F9FC0F1" w14:textId="40B4CF49" w:rsidR="00B76954" w:rsidRPr="00912E9B" w:rsidRDefault="00B76954" w:rsidP="00D40051">
            <w:pPr>
              <w:pStyle w:val="CERGlossaryDefinition"/>
              <w:rPr>
                <w:rFonts w:asciiTheme="minorHAnsi" w:hAnsiTheme="minorHAnsi" w:cstheme="minorHAnsi"/>
                <w:sz w:val="22"/>
                <w:szCs w:val="22"/>
              </w:rPr>
            </w:pPr>
            <w:r w:rsidRPr="00912E9B">
              <w:rPr>
                <w:rFonts w:asciiTheme="minorHAnsi" w:hAnsiTheme="minorHAnsi" w:cstheme="minorHAnsi"/>
                <w:sz w:val="22"/>
                <w:szCs w:val="22"/>
              </w:rPr>
              <w:t>a decision issued by ALPEX and notice to Parties</w:t>
            </w:r>
          </w:p>
        </w:tc>
      </w:tr>
      <w:tr w:rsidR="009B7A31" w:rsidRPr="00912E9B" w14:paraId="51FDCA40" w14:textId="77777777" w:rsidTr="00D40051">
        <w:trPr>
          <w:cantSplit/>
        </w:trPr>
        <w:tc>
          <w:tcPr>
            <w:tcW w:w="2298" w:type="dxa"/>
            <w:shd w:val="clear" w:color="auto" w:fill="auto"/>
            <w:vAlign w:val="center"/>
          </w:tcPr>
          <w:p w14:paraId="4851E4FB" w14:textId="53460949" w:rsidR="00B76954" w:rsidRPr="00912E9B" w:rsidRDefault="00B76954" w:rsidP="0061192D">
            <w:pPr>
              <w:pStyle w:val="CERGlossaryTerm"/>
              <w:rPr>
                <w:rFonts w:asciiTheme="majorHAnsi" w:hAnsiTheme="majorHAnsi" w:cstheme="majorHAnsi"/>
                <w:sz w:val="22"/>
                <w:szCs w:val="22"/>
              </w:rPr>
            </w:pPr>
            <w:r w:rsidRPr="00912E9B">
              <w:rPr>
                <w:rFonts w:asciiTheme="majorHAnsi" w:hAnsiTheme="majorHAnsi" w:cstheme="majorHAnsi"/>
                <w:sz w:val="22"/>
                <w:szCs w:val="22"/>
              </w:rPr>
              <w:t>ALPEX Fee Schedule</w:t>
            </w:r>
          </w:p>
        </w:tc>
        <w:tc>
          <w:tcPr>
            <w:tcW w:w="7088" w:type="dxa"/>
            <w:shd w:val="clear" w:color="auto" w:fill="auto"/>
            <w:vAlign w:val="center"/>
          </w:tcPr>
          <w:p w14:paraId="08CA3FC9" w14:textId="01AE0B44"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the statement of charges published from time to time by ALPEX for the purposes of </w:t>
            </w:r>
            <w:r w:rsidRPr="00912E9B">
              <w:rPr>
                <w:rFonts w:asciiTheme="majorHAnsi" w:hAnsiTheme="majorHAnsi" w:cstheme="majorHAnsi"/>
                <w:caps/>
                <w:sz w:val="22"/>
                <w:szCs w:val="22"/>
              </w:rPr>
              <w:t>ALPEX</w:t>
            </w:r>
            <w:r w:rsidRPr="00912E9B">
              <w:rPr>
                <w:rFonts w:asciiTheme="majorHAnsi" w:hAnsiTheme="majorHAnsi" w:cstheme="majorHAnsi"/>
                <w:sz w:val="22"/>
                <w:szCs w:val="22"/>
              </w:rPr>
              <w:t xml:space="preserve"> activities approved by the respective Regulatory Authority as the case may be.</w:t>
            </w:r>
          </w:p>
        </w:tc>
      </w:tr>
      <w:tr w:rsidR="009B7A31" w:rsidRPr="00912E9B" w14:paraId="08652EA9" w14:textId="77777777" w:rsidTr="00D40051">
        <w:trPr>
          <w:cantSplit/>
        </w:trPr>
        <w:tc>
          <w:tcPr>
            <w:tcW w:w="2298" w:type="dxa"/>
            <w:shd w:val="clear" w:color="auto" w:fill="auto"/>
            <w:vAlign w:val="center"/>
          </w:tcPr>
          <w:p w14:paraId="6517DDEC" w14:textId="31D9DC85" w:rsidR="00B76954" w:rsidRPr="00912E9B" w:rsidRDefault="00B76954" w:rsidP="00B76954">
            <w:pPr>
              <w:pStyle w:val="CERGlossaryTerm"/>
              <w:rPr>
                <w:rFonts w:asciiTheme="majorHAnsi" w:hAnsiTheme="majorHAnsi" w:cstheme="majorHAnsi"/>
                <w:sz w:val="22"/>
                <w:szCs w:val="22"/>
              </w:rPr>
            </w:pPr>
            <w:r w:rsidRPr="00912E9B">
              <w:rPr>
                <w:rFonts w:asciiTheme="majorHAnsi" w:hAnsiTheme="majorHAnsi" w:cstheme="majorHAnsi"/>
                <w:sz w:val="22"/>
                <w:szCs w:val="22"/>
              </w:rPr>
              <w:t>ALPEX Market</w:t>
            </w:r>
            <w:r w:rsidR="004E7B93" w:rsidRPr="00912E9B">
              <w:rPr>
                <w:rFonts w:asciiTheme="majorHAnsi" w:hAnsiTheme="majorHAnsi" w:cstheme="majorHAnsi"/>
                <w:sz w:val="22"/>
                <w:szCs w:val="22"/>
              </w:rPr>
              <w:t>s</w:t>
            </w:r>
          </w:p>
        </w:tc>
        <w:tc>
          <w:tcPr>
            <w:tcW w:w="7088" w:type="dxa"/>
            <w:shd w:val="clear" w:color="auto" w:fill="auto"/>
            <w:vAlign w:val="center"/>
          </w:tcPr>
          <w:p w14:paraId="5FA99926" w14:textId="07F6B644"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include the Day Ahead Market and Intraday Market including Intraday Auctions and Continuous Trading, which operate as wholesale electricity markets and whose transactions are cleared by ALPEX.</w:t>
            </w:r>
          </w:p>
        </w:tc>
      </w:tr>
      <w:tr w:rsidR="009B7A31" w:rsidRPr="00912E9B" w14:paraId="78782752" w14:textId="77777777" w:rsidTr="00D40051">
        <w:trPr>
          <w:cantSplit/>
        </w:trPr>
        <w:tc>
          <w:tcPr>
            <w:tcW w:w="2298" w:type="dxa"/>
            <w:shd w:val="clear" w:color="auto" w:fill="auto"/>
            <w:vAlign w:val="center"/>
          </w:tcPr>
          <w:p w14:paraId="69B9D04D" w14:textId="101CFCBA" w:rsidR="00B76954" w:rsidRPr="00912E9B" w:rsidRDefault="00B76954" w:rsidP="00B76954">
            <w:pPr>
              <w:pStyle w:val="CERGlossaryTerm"/>
              <w:rPr>
                <w:rFonts w:asciiTheme="majorHAnsi" w:hAnsiTheme="majorHAnsi" w:cstheme="majorHAnsi"/>
                <w:sz w:val="22"/>
                <w:szCs w:val="22"/>
              </w:rPr>
            </w:pPr>
            <w:r w:rsidRPr="00912E9B">
              <w:rPr>
                <w:rFonts w:asciiTheme="majorHAnsi" w:hAnsiTheme="majorHAnsi" w:cstheme="majorHAnsi"/>
                <w:sz w:val="22"/>
                <w:szCs w:val="22"/>
              </w:rPr>
              <w:t>ALPEX Objective</w:t>
            </w:r>
          </w:p>
        </w:tc>
        <w:tc>
          <w:tcPr>
            <w:tcW w:w="7088" w:type="dxa"/>
            <w:shd w:val="clear" w:color="auto" w:fill="auto"/>
            <w:vAlign w:val="center"/>
          </w:tcPr>
          <w:p w14:paraId="1879171B" w14:textId="5C476777"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has the meaning given in General Terms paragraph A.1.2.</w:t>
            </w:r>
          </w:p>
        </w:tc>
      </w:tr>
      <w:tr w:rsidR="009B7A31" w:rsidRPr="00912E9B" w14:paraId="3B1DC216" w14:textId="77777777" w:rsidTr="00D40051">
        <w:trPr>
          <w:cantSplit/>
        </w:trPr>
        <w:tc>
          <w:tcPr>
            <w:tcW w:w="2298" w:type="dxa"/>
            <w:shd w:val="clear" w:color="auto" w:fill="auto"/>
            <w:vAlign w:val="center"/>
          </w:tcPr>
          <w:p w14:paraId="4606D0E7" w14:textId="60C4F427" w:rsidR="00B76954" w:rsidRPr="00912E9B" w:rsidRDefault="00B76954" w:rsidP="00B76954">
            <w:pPr>
              <w:pStyle w:val="CERGlossaryTerm"/>
              <w:rPr>
                <w:rFonts w:asciiTheme="majorHAnsi" w:hAnsiTheme="majorHAnsi" w:cstheme="majorHAnsi"/>
                <w:sz w:val="22"/>
                <w:szCs w:val="22"/>
              </w:rPr>
            </w:pPr>
            <w:r w:rsidRPr="00912E9B">
              <w:rPr>
                <w:rFonts w:asciiTheme="majorHAnsi" w:hAnsiTheme="majorHAnsi" w:cstheme="majorHAnsi"/>
                <w:sz w:val="22"/>
                <w:szCs w:val="22"/>
              </w:rPr>
              <w:t>ALPEX Principle</w:t>
            </w:r>
          </w:p>
        </w:tc>
        <w:tc>
          <w:tcPr>
            <w:tcW w:w="7088" w:type="dxa"/>
            <w:shd w:val="clear" w:color="auto" w:fill="auto"/>
            <w:vAlign w:val="center"/>
          </w:tcPr>
          <w:p w14:paraId="0E890F54" w14:textId="35649EE2"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has the meaning given in General Terms paragraph A.1.2.</w:t>
            </w:r>
          </w:p>
        </w:tc>
      </w:tr>
      <w:tr w:rsidR="009B7A31" w:rsidRPr="00912E9B" w14:paraId="2122BB3F" w14:textId="77777777" w:rsidTr="00D40051">
        <w:trPr>
          <w:cantSplit/>
        </w:trPr>
        <w:tc>
          <w:tcPr>
            <w:tcW w:w="2298" w:type="dxa"/>
            <w:shd w:val="clear" w:color="auto" w:fill="auto"/>
            <w:vAlign w:val="center"/>
          </w:tcPr>
          <w:p w14:paraId="093CCEC7" w14:textId="36FE36E9" w:rsidR="00B76954" w:rsidRPr="00912E9B" w:rsidRDefault="00B76954" w:rsidP="00B76954">
            <w:pPr>
              <w:pStyle w:val="CERGlossaryTerm"/>
              <w:rPr>
                <w:rFonts w:asciiTheme="majorHAnsi" w:hAnsiTheme="majorHAnsi" w:cstheme="majorHAnsi"/>
                <w:sz w:val="22"/>
                <w:szCs w:val="22"/>
              </w:rPr>
            </w:pPr>
            <w:r w:rsidRPr="00912E9B">
              <w:rPr>
                <w:rFonts w:asciiTheme="majorHAnsi" w:hAnsiTheme="majorHAnsi" w:cstheme="majorHAnsi"/>
                <w:sz w:val="22"/>
                <w:szCs w:val="22"/>
              </w:rPr>
              <w:t>ALPEX Rules</w:t>
            </w:r>
          </w:p>
        </w:tc>
        <w:tc>
          <w:tcPr>
            <w:tcW w:w="7088" w:type="dxa"/>
            <w:shd w:val="clear" w:color="auto" w:fill="auto"/>
            <w:vAlign w:val="center"/>
          </w:tcPr>
          <w:p w14:paraId="7CD56222" w14:textId="5A7C5A29" w:rsidR="00B76954" w:rsidRPr="00912E9B" w:rsidRDefault="00B76954"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set of provisions, including General Terms, as amended from time to time,</w:t>
            </w:r>
            <w:r w:rsidRPr="00912E9B" w:rsidDel="009E27C4">
              <w:rPr>
                <w:rFonts w:asciiTheme="majorHAnsi" w:hAnsiTheme="majorHAnsi" w:cstheme="majorHAnsi"/>
                <w:sz w:val="22"/>
                <w:szCs w:val="22"/>
              </w:rPr>
              <w:t xml:space="preserve"> </w:t>
            </w:r>
            <w:r w:rsidRPr="00912E9B">
              <w:rPr>
                <w:rFonts w:asciiTheme="majorHAnsi" w:hAnsiTheme="majorHAnsi" w:cstheme="majorHAnsi"/>
                <w:sz w:val="22"/>
                <w:szCs w:val="22"/>
              </w:rPr>
              <w:t>on which ALPEX is to carry out its duties according to the applicable laws and regulations and by which Exchange Members are to trade in the Exchange</w:t>
            </w:r>
            <w:r w:rsidR="00C05E98" w:rsidRPr="00912E9B">
              <w:rPr>
                <w:rFonts w:asciiTheme="majorHAnsi" w:hAnsiTheme="majorHAnsi" w:cstheme="majorHAnsi"/>
                <w:sz w:val="22"/>
                <w:szCs w:val="22"/>
              </w:rPr>
              <w:t xml:space="preserve"> and </w:t>
            </w:r>
            <w:r w:rsidR="00DC5F48" w:rsidRPr="00912E9B">
              <w:rPr>
                <w:rFonts w:asciiTheme="majorHAnsi" w:hAnsiTheme="majorHAnsi" w:cstheme="majorHAnsi"/>
                <w:sz w:val="22"/>
                <w:szCs w:val="22"/>
              </w:rPr>
              <w:t>Clearing</w:t>
            </w:r>
            <w:r w:rsidR="00C05E98" w:rsidRPr="00912E9B">
              <w:rPr>
                <w:rFonts w:asciiTheme="majorHAnsi" w:hAnsiTheme="majorHAnsi" w:cstheme="majorHAnsi"/>
                <w:sz w:val="22"/>
                <w:szCs w:val="22"/>
              </w:rPr>
              <w:t xml:space="preserve"> Memb</w:t>
            </w:r>
            <w:r w:rsidR="00DC5F48" w:rsidRPr="00912E9B">
              <w:rPr>
                <w:rFonts w:asciiTheme="majorHAnsi" w:hAnsiTheme="majorHAnsi" w:cstheme="majorHAnsi"/>
                <w:sz w:val="22"/>
                <w:szCs w:val="22"/>
              </w:rPr>
              <w:t>ers are to clear the Transaction</w:t>
            </w:r>
            <w:r w:rsidRPr="00912E9B">
              <w:rPr>
                <w:rFonts w:asciiTheme="majorHAnsi" w:hAnsiTheme="majorHAnsi" w:cstheme="majorHAnsi"/>
                <w:sz w:val="22"/>
                <w:szCs w:val="22"/>
              </w:rPr>
              <w:t>.</w:t>
            </w:r>
          </w:p>
        </w:tc>
      </w:tr>
      <w:tr w:rsidR="009B7A31" w:rsidRPr="00912E9B" w14:paraId="6B589671" w14:textId="77777777" w:rsidTr="00D40051">
        <w:trPr>
          <w:cantSplit/>
        </w:trPr>
        <w:tc>
          <w:tcPr>
            <w:tcW w:w="2298" w:type="dxa"/>
            <w:shd w:val="clear" w:color="auto" w:fill="auto"/>
            <w:vAlign w:val="center"/>
          </w:tcPr>
          <w:p w14:paraId="619D2ACB" w14:textId="5DAC4B52" w:rsidR="00194ABA" w:rsidRPr="00912E9B" w:rsidRDefault="00194ABA" w:rsidP="00194ABA">
            <w:pPr>
              <w:pStyle w:val="CERGlossaryTerm"/>
              <w:rPr>
                <w:rFonts w:asciiTheme="majorHAnsi" w:hAnsiTheme="majorHAnsi" w:cstheme="majorHAnsi"/>
                <w:sz w:val="22"/>
                <w:szCs w:val="22"/>
              </w:rPr>
            </w:pPr>
            <w:r w:rsidRPr="00912E9B">
              <w:rPr>
                <w:rFonts w:asciiTheme="majorHAnsi" w:hAnsiTheme="majorHAnsi" w:cstheme="majorHAnsi"/>
                <w:sz w:val="22"/>
                <w:szCs w:val="22"/>
              </w:rPr>
              <w:t>API</w:t>
            </w:r>
          </w:p>
        </w:tc>
        <w:tc>
          <w:tcPr>
            <w:tcW w:w="7088" w:type="dxa"/>
            <w:shd w:val="clear" w:color="auto" w:fill="auto"/>
            <w:vAlign w:val="center"/>
          </w:tcPr>
          <w:p w14:paraId="657F9A8A" w14:textId="35D265C7" w:rsidR="00194ABA" w:rsidRPr="00912E9B" w:rsidRDefault="00194ABA"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Application Programming Interface.</w:t>
            </w:r>
          </w:p>
        </w:tc>
      </w:tr>
      <w:tr w:rsidR="009B7A31" w:rsidRPr="00912E9B" w14:paraId="275C1545" w14:textId="77777777" w:rsidTr="00D40051">
        <w:trPr>
          <w:cantSplit/>
        </w:trPr>
        <w:tc>
          <w:tcPr>
            <w:tcW w:w="2298" w:type="dxa"/>
            <w:shd w:val="clear" w:color="auto" w:fill="auto"/>
            <w:vAlign w:val="center"/>
          </w:tcPr>
          <w:p w14:paraId="570EF38B" w14:textId="639746BA" w:rsidR="00194ABA" w:rsidRPr="00912E9B" w:rsidRDefault="00194ABA" w:rsidP="00194ABA">
            <w:pPr>
              <w:pStyle w:val="CERGlossaryTerm"/>
              <w:rPr>
                <w:rFonts w:asciiTheme="majorHAnsi" w:hAnsiTheme="majorHAnsi" w:cstheme="majorHAnsi"/>
                <w:sz w:val="22"/>
                <w:szCs w:val="22"/>
              </w:rPr>
            </w:pPr>
            <w:r w:rsidRPr="00912E9B">
              <w:rPr>
                <w:rFonts w:asciiTheme="majorHAnsi" w:hAnsiTheme="majorHAnsi" w:cstheme="majorHAnsi"/>
                <w:sz w:val="22"/>
                <w:szCs w:val="22"/>
              </w:rPr>
              <w:t>Appendix</w:t>
            </w:r>
          </w:p>
        </w:tc>
        <w:tc>
          <w:tcPr>
            <w:tcW w:w="7088" w:type="dxa"/>
            <w:shd w:val="clear" w:color="auto" w:fill="auto"/>
            <w:vAlign w:val="center"/>
          </w:tcPr>
          <w:p w14:paraId="73A1F5B5" w14:textId="6FD6ED01" w:rsidR="00194ABA" w:rsidRPr="00912E9B" w:rsidRDefault="00194ABA"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an Appendix to the </w:t>
            </w:r>
            <w:r w:rsidR="00D74C3F" w:rsidRPr="00912E9B">
              <w:rPr>
                <w:rFonts w:asciiTheme="majorHAnsi" w:hAnsiTheme="majorHAnsi" w:cstheme="majorHAnsi"/>
                <w:sz w:val="22"/>
                <w:szCs w:val="22"/>
              </w:rPr>
              <w:t>Procedur</w:t>
            </w:r>
            <w:r w:rsidR="00EB0D64" w:rsidRPr="00912E9B">
              <w:rPr>
                <w:rFonts w:asciiTheme="majorHAnsi" w:hAnsiTheme="majorHAnsi" w:cstheme="majorHAnsi"/>
                <w:sz w:val="22"/>
                <w:szCs w:val="22"/>
              </w:rPr>
              <w:t>e</w:t>
            </w:r>
            <w:r w:rsidRPr="00912E9B">
              <w:rPr>
                <w:rFonts w:asciiTheme="majorHAnsi" w:hAnsiTheme="majorHAnsi" w:cstheme="majorHAnsi"/>
                <w:sz w:val="22"/>
                <w:szCs w:val="22"/>
              </w:rPr>
              <w:t>s and the term “Appendices” shall be interpreted accordingly.</w:t>
            </w:r>
          </w:p>
        </w:tc>
      </w:tr>
      <w:tr w:rsidR="009B7A31" w:rsidRPr="00912E9B" w14:paraId="14586429" w14:textId="77777777" w:rsidTr="00D40051">
        <w:trPr>
          <w:cantSplit/>
        </w:trPr>
        <w:tc>
          <w:tcPr>
            <w:tcW w:w="2298" w:type="dxa"/>
            <w:shd w:val="clear" w:color="auto" w:fill="auto"/>
            <w:vAlign w:val="center"/>
          </w:tcPr>
          <w:p w14:paraId="3EF9517D" w14:textId="218F1943" w:rsidR="00194ABA" w:rsidRPr="00912E9B" w:rsidRDefault="00194ABA" w:rsidP="00194ABA">
            <w:pPr>
              <w:pStyle w:val="CERGlossaryTerm"/>
              <w:rPr>
                <w:rFonts w:asciiTheme="majorHAnsi" w:hAnsiTheme="majorHAnsi" w:cstheme="majorHAnsi"/>
                <w:sz w:val="22"/>
                <w:szCs w:val="22"/>
              </w:rPr>
            </w:pPr>
            <w:r w:rsidRPr="00912E9B">
              <w:rPr>
                <w:rFonts w:asciiTheme="majorHAnsi" w:hAnsiTheme="majorHAnsi" w:cstheme="majorHAnsi"/>
                <w:sz w:val="22"/>
                <w:szCs w:val="22"/>
              </w:rPr>
              <w:t>Applicable Law</w:t>
            </w:r>
          </w:p>
        </w:tc>
        <w:tc>
          <w:tcPr>
            <w:tcW w:w="7088" w:type="dxa"/>
            <w:shd w:val="clear" w:color="auto" w:fill="auto"/>
            <w:vAlign w:val="center"/>
          </w:tcPr>
          <w:p w14:paraId="7DB7EEFD" w14:textId="09C8F0A4" w:rsidR="00194ABA" w:rsidRPr="00912E9B" w:rsidRDefault="00194ABA"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any legislation, statutory </w:t>
            </w:r>
            <w:proofErr w:type="gramStart"/>
            <w:r w:rsidRPr="00912E9B">
              <w:rPr>
                <w:rFonts w:asciiTheme="majorHAnsi" w:hAnsiTheme="majorHAnsi" w:cstheme="majorHAnsi"/>
                <w:sz w:val="22"/>
                <w:szCs w:val="22"/>
              </w:rPr>
              <w:t>instrument</w:t>
            </w:r>
            <w:proofErr w:type="gramEnd"/>
            <w:r w:rsidRPr="00912E9B">
              <w:rPr>
                <w:rFonts w:asciiTheme="majorHAnsi" w:hAnsiTheme="majorHAnsi" w:cstheme="majorHAnsi"/>
                <w:sz w:val="22"/>
                <w:szCs w:val="22"/>
              </w:rPr>
              <w:t xml:space="preserve"> or regulation, as applicable to a Party.</w:t>
            </w:r>
          </w:p>
        </w:tc>
      </w:tr>
      <w:tr w:rsidR="009B7A31" w:rsidRPr="00912E9B" w14:paraId="5DB99F1C" w14:textId="77777777" w:rsidTr="00D40051">
        <w:trPr>
          <w:cantSplit/>
        </w:trPr>
        <w:tc>
          <w:tcPr>
            <w:tcW w:w="2298" w:type="dxa"/>
            <w:shd w:val="clear" w:color="auto" w:fill="auto"/>
            <w:vAlign w:val="center"/>
          </w:tcPr>
          <w:p w14:paraId="0947A417" w14:textId="6CD737D9" w:rsidR="00C87ECD" w:rsidRPr="00912E9B" w:rsidRDefault="00C87ECD" w:rsidP="00C87ECD">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Applicant</w:t>
            </w:r>
          </w:p>
        </w:tc>
        <w:tc>
          <w:tcPr>
            <w:tcW w:w="7088" w:type="dxa"/>
            <w:shd w:val="clear" w:color="auto" w:fill="auto"/>
            <w:vAlign w:val="center"/>
          </w:tcPr>
          <w:p w14:paraId="1C6EB244" w14:textId="45B48E21" w:rsidR="00C87ECD" w:rsidRPr="00912E9B" w:rsidRDefault="00C87ECD"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legal entity seeking to be admitted as an Exchange Member in accordance with General Terms section C.1.3, </w:t>
            </w:r>
            <w:r w:rsidR="007037F0" w:rsidRPr="00912E9B">
              <w:rPr>
                <w:rFonts w:asciiTheme="majorHAnsi" w:hAnsiTheme="majorHAnsi" w:cstheme="majorHAnsi"/>
                <w:sz w:val="22"/>
                <w:szCs w:val="22"/>
              </w:rPr>
              <w:t xml:space="preserve">or </w:t>
            </w:r>
            <w:r w:rsidR="00155523" w:rsidRPr="00912E9B">
              <w:rPr>
                <w:rFonts w:asciiTheme="majorHAnsi" w:hAnsiTheme="majorHAnsi" w:cstheme="majorHAnsi"/>
                <w:sz w:val="22"/>
                <w:szCs w:val="22"/>
              </w:rPr>
              <w:t>t</w:t>
            </w:r>
            <w:r w:rsidR="00B06C78" w:rsidRPr="00912E9B">
              <w:rPr>
                <w:rFonts w:asciiTheme="majorHAnsi" w:hAnsiTheme="majorHAnsi" w:cstheme="majorHAnsi"/>
                <w:sz w:val="22"/>
                <w:szCs w:val="22"/>
              </w:rPr>
              <w:t>o</w:t>
            </w:r>
            <w:r w:rsidR="00155523" w:rsidRPr="00912E9B">
              <w:rPr>
                <w:rFonts w:asciiTheme="majorHAnsi" w:hAnsiTheme="majorHAnsi" w:cstheme="majorHAnsi"/>
                <w:sz w:val="22"/>
                <w:szCs w:val="22"/>
              </w:rPr>
              <w:t xml:space="preserve"> be</w:t>
            </w:r>
            <w:r w:rsidR="00B06C78" w:rsidRPr="00912E9B">
              <w:rPr>
                <w:rFonts w:asciiTheme="majorHAnsi" w:hAnsiTheme="majorHAnsi" w:cstheme="majorHAnsi"/>
                <w:sz w:val="22"/>
                <w:szCs w:val="22"/>
              </w:rPr>
              <w:t xml:space="preserve"> admitted as a</w:t>
            </w:r>
            <w:r w:rsidR="00155523" w:rsidRPr="00912E9B">
              <w:rPr>
                <w:rFonts w:asciiTheme="majorHAnsi" w:hAnsiTheme="majorHAnsi" w:cstheme="majorHAnsi"/>
                <w:sz w:val="22"/>
                <w:szCs w:val="22"/>
              </w:rPr>
              <w:t xml:space="preserve"> </w:t>
            </w:r>
            <w:r w:rsidR="00B06C78" w:rsidRPr="00912E9B">
              <w:rPr>
                <w:rFonts w:asciiTheme="majorHAnsi" w:hAnsiTheme="majorHAnsi" w:cstheme="majorHAnsi"/>
                <w:sz w:val="22"/>
                <w:szCs w:val="22"/>
              </w:rPr>
              <w:t xml:space="preserve">Clearing Member in accordance with Procedures of Clearing and </w:t>
            </w:r>
            <w:proofErr w:type="gramStart"/>
            <w:r w:rsidR="00B06C78" w:rsidRPr="00912E9B">
              <w:rPr>
                <w:rFonts w:asciiTheme="majorHAnsi" w:hAnsiTheme="majorHAnsi" w:cstheme="majorHAnsi"/>
                <w:sz w:val="22"/>
                <w:szCs w:val="22"/>
              </w:rPr>
              <w:t>Settlement  section</w:t>
            </w:r>
            <w:proofErr w:type="gramEnd"/>
            <w:r w:rsidR="00B06C78" w:rsidRPr="00912E9B">
              <w:rPr>
                <w:rFonts w:asciiTheme="majorHAnsi" w:hAnsiTheme="majorHAnsi" w:cstheme="majorHAnsi"/>
                <w:sz w:val="22"/>
                <w:szCs w:val="22"/>
              </w:rPr>
              <w:t xml:space="preserve"> C.2</w:t>
            </w:r>
            <w:r w:rsidRPr="00912E9B">
              <w:rPr>
                <w:rFonts w:asciiTheme="majorHAnsi" w:hAnsiTheme="majorHAnsi" w:cstheme="majorHAnsi"/>
                <w:sz w:val="22"/>
                <w:szCs w:val="22"/>
              </w:rPr>
              <w:t>.</w:t>
            </w:r>
          </w:p>
        </w:tc>
      </w:tr>
      <w:tr w:rsidR="009B7A31" w:rsidRPr="00912E9B" w14:paraId="6329C052" w14:textId="77777777" w:rsidTr="00D40051">
        <w:trPr>
          <w:cantSplit/>
        </w:trPr>
        <w:tc>
          <w:tcPr>
            <w:tcW w:w="2298" w:type="dxa"/>
            <w:shd w:val="clear" w:color="auto" w:fill="auto"/>
            <w:vAlign w:val="center"/>
          </w:tcPr>
          <w:p w14:paraId="3519EF28" w14:textId="1C32DEE1" w:rsidR="00C87ECD" w:rsidRPr="00912E9B" w:rsidRDefault="00C87ECD" w:rsidP="00C87ECD">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Auction </w:t>
            </w:r>
          </w:p>
        </w:tc>
        <w:tc>
          <w:tcPr>
            <w:tcW w:w="7088" w:type="dxa"/>
            <w:shd w:val="clear" w:color="auto" w:fill="auto"/>
            <w:vAlign w:val="center"/>
          </w:tcPr>
          <w:p w14:paraId="3EF8A048" w14:textId="669D2F68" w:rsidR="00C87ECD" w:rsidRPr="00912E9B" w:rsidRDefault="00C87ECD"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an auction conducted in the Day-Ahead Market Segment or in the Intraday Market Segment.</w:t>
            </w:r>
          </w:p>
        </w:tc>
      </w:tr>
      <w:tr w:rsidR="009B7A31" w:rsidRPr="00912E9B" w14:paraId="44AEEDA5" w14:textId="77777777" w:rsidTr="00D40051">
        <w:trPr>
          <w:cantSplit/>
        </w:trPr>
        <w:tc>
          <w:tcPr>
            <w:tcW w:w="2298" w:type="dxa"/>
            <w:shd w:val="clear" w:color="auto" w:fill="auto"/>
            <w:vAlign w:val="center"/>
          </w:tcPr>
          <w:p w14:paraId="53C405A5" w14:textId="3EE1DB65" w:rsidR="00C87ECD" w:rsidRPr="00912E9B" w:rsidRDefault="00C87ECD" w:rsidP="00C87ECD">
            <w:pPr>
              <w:pStyle w:val="CERGlossaryTerm"/>
              <w:rPr>
                <w:rFonts w:asciiTheme="majorHAnsi" w:hAnsiTheme="majorHAnsi" w:cstheme="majorHAnsi"/>
                <w:sz w:val="22"/>
                <w:szCs w:val="22"/>
              </w:rPr>
            </w:pPr>
            <w:r w:rsidRPr="00912E9B">
              <w:rPr>
                <w:rFonts w:asciiTheme="minorHAnsi" w:hAnsiTheme="minorHAnsi" w:cstheme="minorHAnsi"/>
                <w:sz w:val="22"/>
                <w:szCs w:val="22"/>
              </w:rPr>
              <w:t>Auction Curtailment</w:t>
            </w:r>
          </w:p>
        </w:tc>
        <w:tc>
          <w:tcPr>
            <w:tcW w:w="7088" w:type="dxa"/>
            <w:shd w:val="clear" w:color="auto" w:fill="auto"/>
            <w:vAlign w:val="center"/>
          </w:tcPr>
          <w:p w14:paraId="22196E73" w14:textId="614CF804" w:rsidR="00C87ECD" w:rsidRPr="00912E9B" w:rsidRDefault="00C87ECD" w:rsidP="00D40051">
            <w:pPr>
              <w:pStyle w:val="CERGlossaryDefinition"/>
              <w:rPr>
                <w:rFonts w:asciiTheme="majorHAnsi" w:hAnsiTheme="majorHAnsi" w:cstheme="majorHAnsi"/>
                <w:sz w:val="22"/>
                <w:szCs w:val="22"/>
              </w:rPr>
            </w:pPr>
            <w:r w:rsidRPr="00912E9B">
              <w:rPr>
                <w:rFonts w:asciiTheme="majorHAnsi" w:hAnsiTheme="majorHAnsi" w:cstheme="majorHAnsi"/>
                <w:iCs/>
                <w:sz w:val="22"/>
                <w:szCs w:val="22"/>
                <w:lang w:val="en-US"/>
              </w:rPr>
              <w:t xml:space="preserve">For the </w:t>
            </w:r>
            <w:r w:rsidRPr="00912E9B">
              <w:rPr>
                <w:rFonts w:asciiTheme="majorHAnsi" w:hAnsiTheme="majorHAnsi" w:cstheme="majorHAnsi"/>
                <w:sz w:val="22"/>
                <w:szCs w:val="22"/>
              </w:rPr>
              <w:t>Day-</w:t>
            </w:r>
            <w:r w:rsidR="00E54677" w:rsidRPr="00912E9B">
              <w:rPr>
                <w:rFonts w:asciiTheme="majorHAnsi" w:hAnsiTheme="majorHAnsi" w:cstheme="majorHAnsi"/>
                <w:sz w:val="22"/>
                <w:szCs w:val="22"/>
              </w:rPr>
              <w:t>A</w:t>
            </w:r>
            <w:r w:rsidRPr="00912E9B">
              <w:rPr>
                <w:rFonts w:asciiTheme="majorHAnsi" w:hAnsiTheme="majorHAnsi" w:cstheme="majorHAnsi"/>
                <w:sz w:val="22"/>
                <w:szCs w:val="22"/>
              </w:rPr>
              <w:t xml:space="preserve">head and Intraday </w:t>
            </w:r>
            <w:r w:rsidRPr="00912E9B">
              <w:rPr>
                <w:rFonts w:asciiTheme="majorHAnsi" w:hAnsiTheme="majorHAnsi" w:cstheme="majorHAnsi"/>
                <w:iCs/>
                <w:sz w:val="22"/>
                <w:szCs w:val="22"/>
                <w:lang w:val="en-US"/>
              </w:rPr>
              <w:t>Auctions, means a situation where Buy Order Aggregated Curve and Sell Order Aggregated Curve in the Auction do not intersect within the range of the Min</w:t>
            </w:r>
            <w:proofErr w:type="spellStart"/>
            <w:r w:rsidRPr="00912E9B">
              <w:rPr>
                <w:rFonts w:asciiTheme="majorHAnsi" w:hAnsiTheme="majorHAnsi" w:cstheme="majorHAnsi"/>
                <w:sz w:val="22"/>
                <w:szCs w:val="22"/>
              </w:rPr>
              <w:t>imum</w:t>
            </w:r>
            <w:proofErr w:type="spellEnd"/>
            <w:r w:rsidRPr="00912E9B">
              <w:rPr>
                <w:rFonts w:asciiTheme="majorHAnsi" w:hAnsiTheme="majorHAnsi" w:cstheme="majorHAnsi"/>
                <w:sz w:val="22"/>
                <w:szCs w:val="22"/>
              </w:rPr>
              <w:t xml:space="preserve"> </w:t>
            </w:r>
            <w:r w:rsidRPr="00912E9B">
              <w:rPr>
                <w:rFonts w:asciiTheme="majorHAnsi" w:hAnsiTheme="majorHAnsi" w:cstheme="majorHAnsi"/>
                <w:iCs/>
                <w:sz w:val="22"/>
                <w:szCs w:val="22"/>
                <w:lang w:val="en-US"/>
              </w:rPr>
              <w:t>and M</w:t>
            </w:r>
            <w:proofErr w:type="spellStart"/>
            <w:r w:rsidRPr="00912E9B">
              <w:rPr>
                <w:rFonts w:asciiTheme="majorHAnsi" w:hAnsiTheme="majorHAnsi" w:cstheme="majorHAnsi"/>
                <w:sz w:val="22"/>
                <w:szCs w:val="22"/>
              </w:rPr>
              <w:t>aximum</w:t>
            </w:r>
            <w:proofErr w:type="spellEnd"/>
            <w:r w:rsidRPr="00912E9B">
              <w:rPr>
                <w:rFonts w:asciiTheme="majorHAnsi" w:hAnsiTheme="majorHAnsi" w:cstheme="majorHAnsi"/>
                <w:sz w:val="22"/>
                <w:szCs w:val="22"/>
              </w:rPr>
              <w:t xml:space="preserve"> Price Threshold</w:t>
            </w:r>
            <w:r w:rsidRPr="00912E9B">
              <w:rPr>
                <w:rFonts w:asciiTheme="majorHAnsi" w:hAnsiTheme="majorHAnsi" w:cstheme="majorHAnsi"/>
                <w:iCs/>
                <w:sz w:val="22"/>
                <w:szCs w:val="22"/>
                <w:lang w:val="en-US"/>
              </w:rPr>
              <w:t>.</w:t>
            </w:r>
          </w:p>
        </w:tc>
      </w:tr>
      <w:tr w:rsidR="00966280" w:rsidRPr="00912E9B" w14:paraId="162A6F36" w14:textId="77777777" w:rsidTr="00D40051">
        <w:trPr>
          <w:cantSplit/>
        </w:trPr>
        <w:tc>
          <w:tcPr>
            <w:tcW w:w="2298" w:type="dxa"/>
            <w:shd w:val="clear" w:color="auto" w:fill="auto"/>
            <w:vAlign w:val="center"/>
          </w:tcPr>
          <w:p w14:paraId="1AEDB7E2" w14:textId="54DA7470" w:rsidR="00966280" w:rsidRPr="00912E9B" w:rsidRDefault="00966280" w:rsidP="00966280">
            <w:pPr>
              <w:pStyle w:val="CERGlossaryTerm"/>
              <w:rPr>
                <w:rFonts w:asciiTheme="minorHAnsi" w:hAnsiTheme="minorHAnsi" w:cstheme="minorHAnsi"/>
                <w:sz w:val="22"/>
                <w:szCs w:val="22"/>
              </w:rPr>
            </w:pPr>
            <w:r w:rsidRPr="00912E9B">
              <w:rPr>
                <w:rFonts w:asciiTheme="majorHAnsi" w:hAnsiTheme="majorHAnsi" w:cstheme="majorHAnsi"/>
                <w:sz w:val="22"/>
                <w:szCs w:val="22"/>
                <w:lang w:val="en-US"/>
              </w:rPr>
              <w:t>Auction Gate Closure Time</w:t>
            </w:r>
          </w:p>
        </w:tc>
        <w:tc>
          <w:tcPr>
            <w:tcW w:w="7088" w:type="dxa"/>
            <w:shd w:val="clear" w:color="auto" w:fill="auto"/>
            <w:vAlign w:val="center"/>
          </w:tcPr>
          <w:p w14:paraId="2CB42634" w14:textId="0805B66A"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lang w:val="en-US"/>
              </w:rPr>
              <w:t>s</w:t>
            </w:r>
            <w:r w:rsidR="009B7A31" w:rsidRPr="00912E9B">
              <w:rPr>
                <w:rFonts w:asciiTheme="majorHAnsi" w:hAnsiTheme="majorHAnsi" w:cstheme="majorHAnsi"/>
                <w:sz w:val="22"/>
                <w:szCs w:val="22"/>
              </w:rPr>
              <w:t>specifies</w:t>
            </w:r>
            <w:r w:rsidRPr="00912E9B">
              <w:rPr>
                <w:rFonts w:asciiTheme="majorHAnsi" w:hAnsiTheme="majorHAnsi" w:cstheme="majorHAnsi"/>
                <w:sz w:val="22"/>
                <w:szCs w:val="22"/>
              </w:rPr>
              <w:t xml:space="preserve"> the time after which ETSS is not accepting Orders for a relevant Market Segment and Delivery Day.</w:t>
            </w:r>
          </w:p>
        </w:tc>
      </w:tr>
      <w:tr w:rsidR="009B7A31" w:rsidRPr="00912E9B" w14:paraId="5563B220" w14:textId="77777777" w:rsidTr="00D40051">
        <w:trPr>
          <w:cantSplit/>
        </w:trPr>
        <w:tc>
          <w:tcPr>
            <w:tcW w:w="2298" w:type="dxa"/>
            <w:shd w:val="clear" w:color="auto" w:fill="auto"/>
            <w:vAlign w:val="center"/>
          </w:tcPr>
          <w:p w14:paraId="638D33B3" w14:textId="71855640" w:rsidR="00966280" w:rsidRPr="00912E9B" w:rsidRDefault="00966280" w:rsidP="00966280">
            <w:pPr>
              <w:pStyle w:val="CERGlossaryTerm"/>
              <w:rPr>
                <w:rFonts w:asciiTheme="majorHAnsi" w:hAnsiTheme="majorHAnsi" w:cstheme="majorHAnsi"/>
                <w:sz w:val="22"/>
                <w:szCs w:val="22"/>
              </w:rPr>
            </w:pPr>
            <w:r w:rsidRPr="00912E9B">
              <w:rPr>
                <w:rFonts w:asciiTheme="minorHAnsi" w:hAnsiTheme="minorHAnsi" w:cstheme="minorHAnsi"/>
                <w:sz w:val="22"/>
                <w:szCs w:val="22"/>
              </w:rPr>
              <w:t>Auction Price</w:t>
            </w:r>
          </w:p>
        </w:tc>
        <w:tc>
          <w:tcPr>
            <w:tcW w:w="7088" w:type="dxa"/>
            <w:shd w:val="clear" w:color="auto" w:fill="auto"/>
            <w:vAlign w:val="center"/>
          </w:tcPr>
          <w:p w14:paraId="3B054CE5" w14:textId="507A4CF8"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The Clearing Price for a specific Market Time Unit in an Auction, at which all relevant </w:t>
            </w:r>
            <w:r w:rsidR="002C69EA" w:rsidRPr="00912E9B">
              <w:rPr>
                <w:rFonts w:asciiTheme="majorHAnsi" w:hAnsiTheme="majorHAnsi" w:cstheme="majorHAnsi"/>
                <w:sz w:val="22"/>
                <w:szCs w:val="22"/>
              </w:rPr>
              <w:t>Contracts</w:t>
            </w:r>
            <w:r w:rsidRPr="00912E9B">
              <w:rPr>
                <w:rFonts w:asciiTheme="majorHAnsi" w:hAnsiTheme="majorHAnsi" w:cstheme="majorHAnsi"/>
                <w:sz w:val="22"/>
                <w:szCs w:val="22"/>
              </w:rPr>
              <w:t xml:space="preserve"> arising out of the Auction for that Market Time Unit will be settled.</w:t>
            </w:r>
          </w:p>
        </w:tc>
      </w:tr>
      <w:tr w:rsidR="009B7A31" w:rsidRPr="00912E9B" w14:paraId="48E53450" w14:textId="77777777" w:rsidTr="00D40051">
        <w:trPr>
          <w:cantSplit/>
        </w:trPr>
        <w:tc>
          <w:tcPr>
            <w:tcW w:w="2298" w:type="dxa"/>
            <w:shd w:val="clear" w:color="auto" w:fill="auto"/>
            <w:vAlign w:val="center"/>
          </w:tcPr>
          <w:p w14:paraId="23E185B5" w14:textId="649C462A" w:rsidR="00966280" w:rsidRPr="00912E9B" w:rsidRDefault="00966280" w:rsidP="00966280">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Available Cover</w:t>
            </w:r>
          </w:p>
        </w:tc>
        <w:tc>
          <w:tcPr>
            <w:tcW w:w="7088" w:type="dxa"/>
            <w:shd w:val="clear" w:color="auto" w:fill="auto"/>
            <w:vAlign w:val="center"/>
          </w:tcPr>
          <w:p w14:paraId="1DD32954" w14:textId="5A3CA335" w:rsidR="00966280" w:rsidRPr="00912E9B" w:rsidRDefault="00966280" w:rsidP="00D40051">
            <w:pPr>
              <w:pStyle w:val="CERGlossaryDefinition"/>
              <w:rPr>
                <w:rFonts w:asciiTheme="majorHAnsi" w:hAnsiTheme="majorHAnsi" w:cstheme="majorHAnsi"/>
                <w:sz w:val="22"/>
                <w:szCs w:val="22"/>
                <w:lang w:val="en-US"/>
              </w:rPr>
            </w:pPr>
            <w:r w:rsidRPr="00912E9B">
              <w:rPr>
                <w:rFonts w:asciiTheme="minorHAnsi" w:hAnsiTheme="minorHAnsi" w:cstheme="minorHAnsi"/>
                <w:sz w:val="22"/>
                <w:szCs w:val="22"/>
              </w:rPr>
              <w:t>The collateral provided by a Clearing Member in accordance with the terms of Clearing and Settlement Procedures, which has not been set aside by ALPEX as Margin.</w:t>
            </w:r>
          </w:p>
        </w:tc>
      </w:tr>
      <w:tr w:rsidR="00966280" w:rsidRPr="00912E9B" w14:paraId="33D43972" w14:textId="77777777" w:rsidTr="00D40051">
        <w:trPr>
          <w:cantSplit/>
        </w:trPr>
        <w:tc>
          <w:tcPr>
            <w:tcW w:w="2298" w:type="dxa"/>
            <w:shd w:val="clear" w:color="auto" w:fill="auto"/>
            <w:vAlign w:val="center"/>
          </w:tcPr>
          <w:p w14:paraId="0B8AF5DC" w14:textId="59963440" w:rsidR="00966280" w:rsidRPr="00912E9B" w:rsidRDefault="00966280" w:rsidP="00966280">
            <w:pPr>
              <w:pStyle w:val="CERGlossaryTerm"/>
              <w:rPr>
                <w:rFonts w:asciiTheme="majorHAnsi" w:hAnsiTheme="majorHAnsi" w:cstheme="majorHAnsi"/>
                <w:sz w:val="22"/>
                <w:szCs w:val="22"/>
              </w:rPr>
            </w:pPr>
            <w:r w:rsidRPr="00912E9B">
              <w:rPr>
                <w:rFonts w:asciiTheme="majorHAnsi" w:hAnsiTheme="majorHAnsi" w:cstheme="majorHAnsi"/>
                <w:sz w:val="22"/>
                <w:szCs w:val="22"/>
              </w:rPr>
              <w:t>Balance Responsible Party</w:t>
            </w:r>
          </w:p>
        </w:tc>
        <w:tc>
          <w:tcPr>
            <w:tcW w:w="7088" w:type="dxa"/>
            <w:shd w:val="clear" w:color="auto" w:fill="auto"/>
            <w:vAlign w:val="center"/>
          </w:tcPr>
          <w:p w14:paraId="6D06AAD2" w14:textId="725F50D1"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has the meaning as defined in Balancing Market Rules.</w:t>
            </w:r>
          </w:p>
        </w:tc>
      </w:tr>
      <w:tr w:rsidR="009B7A31" w:rsidRPr="00912E9B" w14:paraId="3E2AB573" w14:textId="77777777" w:rsidTr="00D40051">
        <w:trPr>
          <w:cantSplit/>
        </w:trPr>
        <w:tc>
          <w:tcPr>
            <w:tcW w:w="2298" w:type="dxa"/>
            <w:shd w:val="clear" w:color="auto" w:fill="auto"/>
            <w:vAlign w:val="center"/>
          </w:tcPr>
          <w:p w14:paraId="478E5884" w14:textId="79F1AE84" w:rsidR="00966280" w:rsidRPr="00912E9B" w:rsidRDefault="00966280" w:rsidP="00966280">
            <w:pPr>
              <w:pStyle w:val="CERGlossaryTerm"/>
              <w:rPr>
                <w:rFonts w:asciiTheme="majorHAnsi" w:hAnsiTheme="majorHAnsi" w:cstheme="majorHAnsi"/>
                <w:sz w:val="22"/>
                <w:szCs w:val="22"/>
              </w:rPr>
            </w:pPr>
            <w:r w:rsidRPr="00912E9B">
              <w:rPr>
                <w:rFonts w:asciiTheme="majorHAnsi" w:hAnsiTheme="majorHAnsi" w:cstheme="majorHAnsi"/>
                <w:sz w:val="22"/>
                <w:szCs w:val="22"/>
              </w:rPr>
              <w:t>Balancing Market</w:t>
            </w:r>
          </w:p>
        </w:tc>
        <w:tc>
          <w:tcPr>
            <w:tcW w:w="7088" w:type="dxa"/>
            <w:shd w:val="clear" w:color="auto" w:fill="auto"/>
            <w:vAlign w:val="center"/>
          </w:tcPr>
          <w:p w14:paraId="3AE6AA94" w14:textId="5D8168D2"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We </w:t>
            </w:r>
            <w:proofErr w:type="gramStart"/>
            <w:r w:rsidRPr="00912E9B">
              <w:rPr>
                <w:rFonts w:asciiTheme="majorHAnsi" w:hAnsiTheme="majorHAnsi" w:cstheme="majorHAnsi"/>
                <w:sz w:val="22"/>
                <w:szCs w:val="22"/>
              </w:rPr>
              <w:t>have to</w:t>
            </w:r>
            <w:proofErr w:type="gramEnd"/>
            <w:r w:rsidRPr="00912E9B">
              <w:rPr>
                <w:rFonts w:asciiTheme="majorHAnsi" w:hAnsiTheme="majorHAnsi" w:cstheme="majorHAnsi"/>
                <w:sz w:val="22"/>
                <w:szCs w:val="22"/>
              </w:rPr>
              <w:t xml:space="preserve"> replicate the definition of relevant Laws.</w:t>
            </w:r>
            <w:r w:rsidRPr="00912E9B" w:rsidDel="00132472">
              <w:rPr>
                <w:rFonts w:asciiTheme="majorHAnsi" w:hAnsiTheme="majorHAnsi" w:cstheme="majorHAnsi"/>
                <w:sz w:val="22"/>
                <w:szCs w:val="22"/>
              </w:rPr>
              <w:t xml:space="preserve"> </w:t>
            </w:r>
            <w:r w:rsidRPr="00912E9B">
              <w:rPr>
                <w:rFonts w:asciiTheme="majorHAnsi" w:hAnsiTheme="majorHAnsi" w:cstheme="majorHAnsi"/>
                <w:sz w:val="22"/>
                <w:szCs w:val="22"/>
              </w:rPr>
              <w:t xml:space="preserve"> </w:t>
            </w:r>
          </w:p>
        </w:tc>
      </w:tr>
      <w:tr w:rsidR="009B7A31" w:rsidRPr="00912E9B" w14:paraId="1C4E849E" w14:textId="77777777" w:rsidTr="00D40051">
        <w:trPr>
          <w:cantSplit/>
        </w:trPr>
        <w:tc>
          <w:tcPr>
            <w:tcW w:w="2298" w:type="dxa"/>
            <w:shd w:val="clear" w:color="auto" w:fill="auto"/>
            <w:vAlign w:val="center"/>
          </w:tcPr>
          <w:p w14:paraId="2CAAF162" w14:textId="68836782" w:rsidR="00966280" w:rsidRPr="00912E9B" w:rsidRDefault="00966280" w:rsidP="00966280">
            <w:pPr>
              <w:pStyle w:val="CERGlossaryTerm"/>
              <w:rPr>
                <w:rFonts w:asciiTheme="majorHAnsi" w:hAnsiTheme="majorHAnsi" w:cstheme="majorHAnsi"/>
                <w:sz w:val="22"/>
                <w:szCs w:val="22"/>
              </w:rPr>
            </w:pPr>
            <w:r w:rsidRPr="00912E9B">
              <w:rPr>
                <w:rFonts w:asciiTheme="minorHAnsi" w:hAnsiTheme="minorHAnsi" w:cstheme="minorHAnsi"/>
                <w:sz w:val="22"/>
                <w:szCs w:val="22"/>
              </w:rPr>
              <w:t>Bank</w:t>
            </w:r>
          </w:p>
        </w:tc>
        <w:tc>
          <w:tcPr>
            <w:tcW w:w="7088" w:type="dxa"/>
            <w:shd w:val="clear" w:color="auto" w:fill="auto"/>
            <w:vAlign w:val="center"/>
          </w:tcPr>
          <w:p w14:paraId="34FB007D" w14:textId="1426E4DC" w:rsidR="00966280" w:rsidRPr="00912E9B" w:rsidRDefault="00966280"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means an entity holder of a relevant Banking License.</w:t>
            </w:r>
          </w:p>
        </w:tc>
      </w:tr>
      <w:tr w:rsidR="009B7A31" w:rsidRPr="00912E9B" w14:paraId="1AF8EB41" w14:textId="77777777" w:rsidTr="00D40051">
        <w:trPr>
          <w:cantSplit/>
        </w:trPr>
        <w:tc>
          <w:tcPr>
            <w:tcW w:w="2298" w:type="dxa"/>
            <w:shd w:val="clear" w:color="auto" w:fill="auto"/>
            <w:vAlign w:val="center"/>
          </w:tcPr>
          <w:p w14:paraId="30B73241" w14:textId="0DB17A16" w:rsidR="00966280" w:rsidRPr="00912E9B" w:rsidRDefault="00966280" w:rsidP="00966280">
            <w:pPr>
              <w:pStyle w:val="CERGlossaryTerm"/>
              <w:rPr>
                <w:rFonts w:asciiTheme="majorHAnsi" w:hAnsiTheme="majorHAnsi" w:cstheme="majorHAnsi"/>
                <w:sz w:val="22"/>
                <w:szCs w:val="22"/>
              </w:rPr>
            </w:pPr>
            <w:r w:rsidRPr="00912E9B">
              <w:rPr>
                <w:rFonts w:asciiTheme="minorHAnsi" w:hAnsiTheme="minorHAnsi" w:cstheme="minorHAnsi"/>
                <w:sz w:val="22"/>
                <w:szCs w:val="22"/>
              </w:rPr>
              <w:t>Bank Instruction</w:t>
            </w:r>
          </w:p>
        </w:tc>
        <w:tc>
          <w:tcPr>
            <w:tcW w:w="7088" w:type="dxa"/>
            <w:shd w:val="clear" w:color="auto" w:fill="auto"/>
            <w:vAlign w:val="center"/>
          </w:tcPr>
          <w:p w14:paraId="7F0FC4AC" w14:textId="6CA55E47" w:rsidR="00966280" w:rsidRPr="00912E9B" w:rsidRDefault="00966280"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means the instructions form relating to the terms on which the cash in a Cash Collateral Account will be held.</w:t>
            </w:r>
          </w:p>
        </w:tc>
      </w:tr>
      <w:tr w:rsidR="009B7A31" w:rsidRPr="00912E9B" w14:paraId="1749AAAE" w14:textId="77777777" w:rsidTr="00D40051">
        <w:trPr>
          <w:cantSplit/>
        </w:trPr>
        <w:tc>
          <w:tcPr>
            <w:tcW w:w="2298" w:type="dxa"/>
            <w:shd w:val="clear" w:color="auto" w:fill="auto"/>
            <w:vAlign w:val="center"/>
          </w:tcPr>
          <w:p w14:paraId="4A7B1764" w14:textId="44805127" w:rsidR="00966280" w:rsidRPr="00912E9B" w:rsidRDefault="00966280" w:rsidP="00966280">
            <w:pPr>
              <w:pStyle w:val="CERGlossaryTerm"/>
              <w:rPr>
                <w:rFonts w:asciiTheme="majorHAnsi" w:hAnsiTheme="majorHAnsi" w:cstheme="majorHAnsi"/>
                <w:sz w:val="22"/>
                <w:szCs w:val="22"/>
              </w:rPr>
            </w:pPr>
            <w:r w:rsidRPr="00912E9B">
              <w:rPr>
                <w:rFonts w:asciiTheme="minorHAnsi" w:hAnsiTheme="minorHAnsi" w:cstheme="minorHAnsi"/>
                <w:sz w:val="22"/>
                <w:szCs w:val="22"/>
              </w:rPr>
              <w:t>Banking License</w:t>
            </w:r>
          </w:p>
        </w:tc>
        <w:tc>
          <w:tcPr>
            <w:tcW w:w="7088" w:type="dxa"/>
            <w:shd w:val="clear" w:color="auto" w:fill="auto"/>
            <w:vAlign w:val="center"/>
          </w:tcPr>
          <w:p w14:paraId="6F3D21E1" w14:textId="09B62CA6" w:rsidR="00966280" w:rsidRPr="00912E9B" w:rsidRDefault="00966280"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means a license issued by the Central Bank of Albania or Kosovo as the case might be.</w:t>
            </w:r>
          </w:p>
        </w:tc>
      </w:tr>
      <w:tr w:rsidR="009B7A31" w:rsidRPr="00912E9B" w14:paraId="64AADAF8" w14:textId="77777777" w:rsidTr="00D40051">
        <w:trPr>
          <w:cantSplit/>
        </w:trPr>
        <w:tc>
          <w:tcPr>
            <w:tcW w:w="2298" w:type="dxa"/>
            <w:shd w:val="clear" w:color="auto" w:fill="auto"/>
            <w:vAlign w:val="center"/>
          </w:tcPr>
          <w:p w14:paraId="4FE31B2D" w14:textId="57295F66" w:rsidR="00966280" w:rsidRPr="00912E9B" w:rsidRDefault="00966280" w:rsidP="00966280">
            <w:pPr>
              <w:pStyle w:val="CERGlossaryTerm"/>
              <w:rPr>
                <w:rFonts w:asciiTheme="minorHAnsi" w:hAnsiTheme="minorHAnsi" w:cstheme="minorHAnsi"/>
                <w:sz w:val="22"/>
                <w:szCs w:val="22"/>
              </w:rPr>
            </w:pPr>
            <w:r w:rsidRPr="00912E9B">
              <w:rPr>
                <w:rFonts w:asciiTheme="minorHAnsi" w:hAnsiTheme="minorHAnsi" w:cstheme="minorHAnsi"/>
                <w:sz w:val="22"/>
                <w:szCs w:val="22"/>
              </w:rPr>
              <w:t>Batch Matching</w:t>
            </w:r>
          </w:p>
        </w:tc>
        <w:tc>
          <w:tcPr>
            <w:tcW w:w="7088" w:type="dxa"/>
            <w:shd w:val="clear" w:color="auto" w:fill="auto"/>
            <w:vAlign w:val="center"/>
          </w:tcPr>
          <w:p w14:paraId="56967246" w14:textId="21BFE372"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The matching of Orders in the Continuous Intraday Trading, which takes place in case of an increase in </w:t>
            </w:r>
            <w:r w:rsidR="00C2530A" w:rsidRPr="00912E9B">
              <w:rPr>
                <w:rFonts w:asciiTheme="majorHAnsi" w:hAnsiTheme="majorHAnsi" w:cstheme="majorHAnsi"/>
                <w:sz w:val="22"/>
                <w:szCs w:val="22"/>
              </w:rPr>
              <w:t>C</w:t>
            </w:r>
            <w:r w:rsidRPr="00912E9B">
              <w:rPr>
                <w:rFonts w:asciiTheme="majorHAnsi" w:hAnsiTheme="majorHAnsi" w:cstheme="majorHAnsi"/>
                <w:sz w:val="22"/>
                <w:szCs w:val="22"/>
              </w:rPr>
              <w:t xml:space="preserve">ross </w:t>
            </w:r>
            <w:r w:rsidR="00C2530A" w:rsidRPr="00912E9B">
              <w:rPr>
                <w:rFonts w:asciiTheme="majorHAnsi" w:hAnsiTheme="majorHAnsi" w:cstheme="majorHAnsi"/>
                <w:sz w:val="22"/>
                <w:szCs w:val="22"/>
              </w:rPr>
              <w:t>B</w:t>
            </w:r>
            <w:r w:rsidRPr="00912E9B">
              <w:rPr>
                <w:rFonts w:asciiTheme="majorHAnsi" w:hAnsiTheme="majorHAnsi" w:cstheme="majorHAnsi"/>
                <w:sz w:val="22"/>
                <w:szCs w:val="22"/>
              </w:rPr>
              <w:t xml:space="preserve">order </w:t>
            </w:r>
            <w:r w:rsidR="00C2530A" w:rsidRPr="00912E9B">
              <w:rPr>
                <w:rFonts w:asciiTheme="majorHAnsi" w:hAnsiTheme="majorHAnsi" w:cstheme="majorHAnsi"/>
                <w:sz w:val="22"/>
                <w:szCs w:val="22"/>
              </w:rPr>
              <w:t>C</w:t>
            </w:r>
            <w:r w:rsidRPr="00912E9B">
              <w:rPr>
                <w:rFonts w:asciiTheme="majorHAnsi" w:hAnsiTheme="majorHAnsi" w:cstheme="majorHAnsi"/>
                <w:sz w:val="22"/>
                <w:szCs w:val="22"/>
              </w:rPr>
              <w:t>apacity.</w:t>
            </w:r>
          </w:p>
        </w:tc>
      </w:tr>
      <w:tr w:rsidR="009B7A31" w:rsidRPr="00912E9B" w14:paraId="3953E9EE" w14:textId="77777777" w:rsidTr="00D40051">
        <w:trPr>
          <w:cantSplit/>
        </w:trPr>
        <w:tc>
          <w:tcPr>
            <w:tcW w:w="2298" w:type="dxa"/>
            <w:shd w:val="clear" w:color="auto" w:fill="auto"/>
            <w:vAlign w:val="center"/>
          </w:tcPr>
          <w:p w14:paraId="7A0484BD" w14:textId="7C1DBEDA" w:rsidR="00966280" w:rsidRPr="00912E9B" w:rsidRDefault="00966280" w:rsidP="00966280">
            <w:pPr>
              <w:pStyle w:val="CERGlossaryTerm"/>
              <w:rPr>
                <w:rFonts w:asciiTheme="minorHAnsi" w:hAnsiTheme="minorHAnsi" w:cstheme="minorHAnsi"/>
                <w:sz w:val="22"/>
                <w:szCs w:val="22"/>
              </w:rPr>
            </w:pPr>
            <w:r w:rsidRPr="00912E9B">
              <w:rPr>
                <w:rFonts w:asciiTheme="majorHAnsi" w:hAnsiTheme="majorHAnsi" w:cstheme="majorHAnsi"/>
                <w:sz w:val="22"/>
                <w:szCs w:val="22"/>
              </w:rPr>
              <w:t>Bidding Zone</w:t>
            </w:r>
          </w:p>
        </w:tc>
        <w:tc>
          <w:tcPr>
            <w:tcW w:w="7088" w:type="dxa"/>
            <w:shd w:val="clear" w:color="auto" w:fill="auto"/>
            <w:vAlign w:val="center"/>
          </w:tcPr>
          <w:p w14:paraId="1A653FF9" w14:textId="1C2FB5F9" w:rsidR="00966280" w:rsidRPr="00912E9B" w:rsidRDefault="00966280" w:rsidP="00D40051">
            <w:pPr>
              <w:pStyle w:val="CERGlossaryDefinition"/>
              <w:rPr>
                <w:rFonts w:asciiTheme="minorHAnsi" w:hAnsiTheme="minorHAnsi" w:cstheme="minorHAnsi"/>
                <w:sz w:val="22"/>
                <w:szCs w:val="22"/>
              </w:rPr>
            </w:pPr>
            <w:r w:rsidRPr="00912E9B">
              <w:rPr>
                <w:rFonts w:asciiTheme="majorHAnsi" w:hAnsiTheme="majorHAnsi" w:cstheme="majorHAnsi"/>
                <w:sz w:val="22"/>
                <w:szCs w:val="22"/>
              </w:rPr>
              <w:t xml:space="preserve">means the largest geographical area within which market participants </w:t>
            </w:r>
            <w:proofErr w:type="gramStart"/>
            <w:r w:rsidRPr="00912E9B">
              <w:rPr>
                <w:rFonts w:asciiTheme="majorHAnsi" w:hAnsiTheme="majorHAnsi" w:cstheme="majorHAnsi"/>
                <w:sz w:val="22"/>
                <w:szCs w:val="22"/>
              </w:rPr>
              <w:t>are able to</w:t>
            </w:r>
            <w:proofErr w:type="gramEnd"/>
            <w:r w:rsidRPr="00912E9B">
              <w:rPr>
                <w:rFonts w:asciiTheme="majorHAnsi" w:hAnsiTheme="majorHAnsi" w:cstheme="majorHAnsi"/>
                <w:sz w:val="22"/>
                <w:szCs w:val="22"/>
              </w:rPr>
              <w:t xml:space="preserve"> exchange electricity without capacity allocation.</w:t>
            </w:r>
          </w:p>
        </w:tc>
      </w:tr>
      <w:tr w:rsidR="009B7A31" w:rsidRPr="00912E9B" w14:paraId="11EA2172" w14:textId="77777777" w:rsidTr="00D40051">
        <w:trPr>
          <w:cantSplit/>
        </w:trPr>
        <w:tc>
          <w:tcPr>
            <w:tcW w:w="2298" w:type="dxa"/>
            <w:shd w:val="clear" w:color="auto" w:fill="auto"/>
            <w:vAlign w:val="center"/>
          </w:tcPr>
          <w:p w14:paraId="73FFAD66" w14:textId="28D87C00" w:rsidR="00966280" w:rsidRPr="00912E9B" w:rsidRDefault="00966280" w:rsidP="00966280">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Block Order</w:t>
            </w:r>
          </w:p>
        </w:tc>
        <w:tc>
          <w:tcPr>
            <w:tcW w:w="7088" w:type="dxa"/>
            <w:shd w:val="clear" w:color="auto" w:fill="auto"/>
            <w:vAlign w:val="center"/>
          </w:tcPr>
          <w:p w14:paraId="1419D103" w14:textId="4F4B589B" w:rsidR="00966280" w:rsidRPr="00912E9B" w:rsidRDefault="00966280" w:rsidP="00D40051">
            <w:pPr>
              <w:pStyle w:val="CERAppendixLevel2"/>
              <w:numPr>
                <w:ilvl w:val="0"/>
                <w:numId w:val="46"/>
              </w:numPr>
              <w:ind w:left="392" w:hanging="360"/>
              <w:jc w:val="both"/>
              <w:rPr>
                <w:rFonts w:asciiTheme="majorHAnsi" w:hAnsiTheme="majorHAnsi" w:cstheme="majorHAnsi"/>
              </w:rPr>
            </w:pPr>
            <w:r w:rsidRPr="00912E9B">
              <w:rPr>
                <w:rFonts w:asciiTheme="majorHAnsi" w:hAnsiTheme="majorHAnsi" w:cstheme="majorHAnsi"/>
              </w:rPr>
              <w:t>in relation to the Orders submitted for the Day-Ahead and Intraday Auctions, means a Buy or Sell Order related to more than one Market Time Units with the characteristics described in section B.1.7 of the Trading Procedures.</w:t>
            </w:r>
          </w:p>
          <w:p w14:paraId="32AC2A93" w14:textId="6C6A9E15" w:rsidR="00966280" w:rsidRPr="00912E9B" w:rsidRDefault="00966280" w:rsidP="00D40051">
            <w:pPr>
              <w:pStyle w:val="CERAppendixLevel2"/>
              <w:numPr>
                <w:ilvl w:val="0"/>
                <w:numId w:val="46"/>
              </w:numPr>
              <w:ind w:left="392" w:hanging="360"/>
              <w:jc w:val="both"/>
              <w:rPr>
                <w:rFonts w:asciiTheme="majorHAnsi" w:hAnsiTheme="majorHAnsi" w:cstheme="majorHAnsi"/>
              </w:rPr>
            </w:pPr>
            <w:r w:rsidRPr="00912E9B">
              <w:rPr>
                <w:rFonts w:asciiTheme="majorHAnsi" w:hAnsiTheme="majorHAnsi" w:cstheme="majorHAnsi"/>
              </w:rPr>
              <w:t>in relation to the Orders submitted to the Continuous Intraday Trading, means a Buy or Sell Order related to more than one Market Time Units with the characteristics described in section D.1.2 of the Trading Procedures.</w:t>
            </w:r>
          </w:p>
        </w:tc>
      </w:tr>
      <w:tr w:rsidR="009B7A31" w:rsidRPr="00912E9B" w14:paraId="3083B884" w14:textId="77777777" w:rsidTr="00D40051">
        <w:trPr>
          <w:cantSplit/>
        </w:trPr>
        <w:tc>
          <w:tcPr>
            <w:tcW w:w="2298" w:type="dxa"/>
            <w:shd w:val="clear" w:color="auto" w:fill="auto"/>
            <w:vAlign w:val="center"/>
          </w:tcPr>
          <w:p w14:paraId="26674142" w14:textId="23FC1338" w:rsidR="00966280" w:rsidRPr="00912E9B" w:rsidRDefault="00966280" w:rsidP="00966280">
            <w:pPr>
              <w:pStyle w:val="CERGlossaryTerm"/>
              <w:rPr>
                <w:rFonts w:asciiTheme="majorHAnsi" w:hAnsiTheme="majorHAnsi" w:cstheme="majorHAnsi"/>
                <w:sz w:val="22"/>
                <w:szCs w:val="22"/>
              </w:rPr>
            </w:pPr>
            <w:r w:rsidRPr="00912E9B">
              <w:rPr>
                <w:rFonts w:asciiTheme="majorHAnsi" w:hAnsiTheme="majorHAnsi" w:cstheme="majorHAnsi"/>
                <w:sz w:val="22"/>
                <w:szCs w:val="22"/>
                <w:lang w:val="en-US"/>
              </w:rPr>
              <w:lastRenderedPageBreak/>
              <w:t>Buy Order</w:t>
            </w:r>
          </w:p>
        </w:tc>
        <w:tc>
          <w:tcPr>
            <w:tcW w:w="7088" w:type="dxa"/>
            <w:shd w:val="clear" w:color="auto" w:fill="auto"/>
            <w:vAlign w:val="center"/>
          </w:tcPr>
          <w:p w14:paraId="623F4695" w14:textId="28193DB2"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A declaration of buy intention entered by an Exchange Member into ETSS for conducting Trades in the Electricity Markets in accordance with the specific provisions of ALPEX Rules.</w:t>
            </w:r>
          </w:p>
        </w:tc>
      </w:tr>
      <w:tr w:rsidR="009B7A31" w:rsidRPr="00912E9B" w14:paraId="0E483AA9" w14:textId="77777777" w:rsidTr="00D40051">
        <w:trPr>
          <w:cantSplit/>
        </w:trPr>
        <w:tc>
          <w:tcPr>
            <w:tcW w:w="2298" w:type="dxa"/>
            <w:shd w:val="clear" w:color="auto" w:fill="auto"/>
            <w:vAlign w:val="center"/>
          </w:tcPr>
          <w:p w14:paraId="04867480" w14:textId="78F61D79" w:rsidR="00966280" w:rsidRPr="00912E9B" w:rsidRDefault="00966280" w:rsidP="00966280">
            <w:pPr>
              <w:pStyle w:val="CERGlossaryTerm"/>
              <w:rPr>
                <w:rFonts w:asciiTheme="majorHAnsi" w:hAnsiTheme="majorHAnsi" w:cstheme="majorHAnsi"/>
                <w:sz w:val="22"/>
                <w:szCs w:val="22"/>
              </w:rPr>
            </w:pPr>
            <w:r w:rsidRPr="00912E9B">
              <w:rPr>
                <w:rFonts w:asciiTheme="majorHAnsi" w:hAnsiTheme="majorHAnsi" w:cstheme="majorHAnsi"/>
                <w:sz w:val="22"/>
                <w:szCs w:val="22"/>
                <w:lang w:val="en-US"/>
              </w:rPr>
              <w:t>Capacity Allocation Market</w:t>
            </w:r>
          </w:p>
        </w:tc>
        <w:tc>
          <w:tcPr>
            <w:tcW w:w="7088" w:type="dxa"/>
            <w:shd w:val="clear" w:color="auto" w:fill="auto"/>
            <w:vAlign w:val="center"/>
          </w:tcPr>
          <w:p w14:paraId="3530054D" w14:textId="34A522E9"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market for the allocation of Cross</w:t>
            </w:r>
            <w:r w:rsidR="00231813" w:rsidRPr="00912E9B">
              <w:rPr>
                <w:rFonts w:asciiTheme="majorHAnsi" w:hAnsiTheme="majorHAnsi" w:cstheme="majorHAnsi"/>
                <w:sz w:val="22"/>
                <w:szCs w:val="22"/>
              </w:rPr>
              <w:t xml:space="preserve"> </w:t>
            </w:r>
            <w:r w:rsidRPr="00912E9B">
              <w:rPr>
                <w:rFonts w:asciiTheme="majorHAnsi" w:hAnsiTheme="majorHAnsi" w:cstheme="majorHAnsi"/>
                <w:sz w:val="22"/>
                <w:szCs w:val="22"/>
              </w:rPr>
              <w:t>Zonal Capacity performed by SEE CAO.</w:t>
            </w:r>
          </w:p>
        </w:tc>
      </w:tr>
      <w:tr w:rsidR="009B7A31" w:rsidRPr="00912E9B" w14:paraId="409BE9CF" w14:textId="77777777" w:rsidTr="00D40051">
        <w:trPr>
          <w:cantSplit/>
        </w:trPr>
        <w:tc>
          <w:tcPr>
            <w:tcW w:w="2298" w:type="dxa"/>
            <w:shd w:val="clear" w:color="auto" w:fill="auto"/>
            <w:vAlign w:val="center"/>
          </w:tcPr>
          <w:p w14:paraId="629F18CD" w14:textId="169892F5" w:rsidR="00966280" w:rsidRPr="00912E9B" w:rsidRDefault="00966280" w:rsidP="00966280">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lang w:val="en-US"/>
              </w:rPr>
              <w:t>Capacity Allocation Procedure</w:t>
            </w:r>
          </w:p>
        </w:tc>
        <w:tc>
          <w:tcPr>
            <w:tcW w:w="7088" w:type="dxa"/>
            <w:shd w:val="clear" w:color="auto" w:fill="auto"/>
            <w:vAlign w:val="center"/>
          </w:tcPr>
          <w:p w14:paraId="0C8760DE" w14:textId="24A207C9"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Rules for the harmonized allocation of </w:t>
            </w:r>
            <w:r w:rsidR="00EF5FEB" w:rsidRPr="00912E9B">
              <w:rPr>
                <w:rFonts w:asciiTheme="majorHAnsi" w:hAnsiTheme="majorHAnsi" w:cstheme="majorHAnsi"/>
                <w:sz w:val="22"/>
                <w:szCs w:val="22"/>
              </w:rPr>
              <w:t>C</w:t>
            </w:r>
            <w:r w:rsidRPr="00912E9B">
              <w:rPr>
                <w:rFonts w:asciiTheme="majorHAnsi" w:hAnsiTheme="majorHAnsi" w:cstheme="majorHAnsi"/>
                <w:sz w:val="22"/>
                <w:szCs w:val="22"/>
              </w:rPr>
              <w:t>ross</w:t>
            </w:r>
            <w:r w:rsidR="00EF5FEB" w:rsidRPr="00912E9B">
              <w:rPr>
                <w:rFonts w:asciiTheme="majorHAnsi" w:hAnsiTheme="majorHAnsi" w:cstheme="majorHAnsi"/>
                <w:sz w:val="22"/>
                <w:szCs w:val="22"/>
              </w:rPr>
              <w:t xml:space="preserve"> B</w:t>
            </w:r>
            <w:r w:rsidRPr="00912E9B">
              <w:rPr>
                <w:rFonts w:asciiTheme="majorHAnsi" w:hAnsiTheme="majorHAnsi" w:cstheme="majorHAnsi"/>
                <w:sz w:val="22"/>
                <w:szCs w:val="22"/>
              </w:rPr>
              <w:t xml:space="preserve">order </w:t>
            </w:r>
            <w:r w:rsidR="00EF5FEB" w:rsidRPr="00912E9B">
              <w:rPr>
                <w:rFonts w:asciiTheme="majorHAnsi" w:hAnsiTheme="majorHAnsi" w:cstheme="majorHAnsi"/>
                <w:sz w:val="22"/>
                <w:szCs w:val="22"/>
              </w:rPr>
              <w:t>C</w:t>
            </w:r>
            <w:r w:rsidRPr="00912E9B">
              <w:rPr>
                <w:rFonts w:asciiTheme="majorHAnsi" w:hAnsiTheme="majorHAnsi" w:cstheme="majorHAnsi"/>
                <w:sz w:val="22"/>
                <w:szCs w:val="22"/>
              </w:rPr>
              <w:t>apacity performed by SEE CAO</w:t>
            </w:r>
            <w:r w:rsidR="007D426D" w:rsidRPr="00912E9B">
              <w:rPr>
                <w:rFonts w:asciiTheme="majorHAnsi" w:hAnsiTheme="majorHAnsi" w:cstheme="majorHAnsi"/>
                <w:sz w:val="22"/>
                <w:szCs w:val="22"/>
              </w:rPr>
              <w:t xml:space="preserve"> </w:t>
            </w:r>
            <w:proofErr w:type="spellStart"/>
            <w:r w:rsidR="007D426D" w:rsidRPr="00912E9B">
              <w:rPr>
                <w:rFonts w:asciiTheme="majorHAnsi" w:hAnsiTheme="majorHAnsi" w:cstheme="majorHAnsi"/>
                <w:sz w:val="22"/>
                <w:szCs w:val="22"/>
              </w:rPr>
              <w:t>abd</w:t>
            </w:r>
            <w:proofErr w:type="spellEnd"/>
            <w:r w:rsidRPr="00912E9B">
              <w:rPr>
                <w:rFonts w:asciiTheme="majorHAnsi" w:hAnsiTheme="majorHAnsi" w:cstheme="majorHAnsi"/>
                <w:sz w:val="22"/>
                <w:szCs w:val="22"/>
              </w:rPr>
              <w:t xml:space="preserve"> approved by ERE board decision no 124 of date 21.07.2016 and by ERO </w:t>
            </w:r>
            <w:r w:rsidR="000E4505" w:rsidRPr="00912E9B">
              <w:rPr>
                <w:rFonts w:asciiTheme="majorHAnsi" w:hAnsiTheme="majorHAnsi" w:cstheme="majorHAnsi"/>
                <w:sz w:val="22"/>
                <w:szCs w:val="22"/>
              </w:rPr>
              <w:t>board decision no</w:t>
            </w:r>
            <w:r w:rsidR="00553A94" w:rsidRPr="00912E9B">
              <w:rPr>
                <w:sz w:val="22"/>
                <w:szCs w:val="22"/>
              </w:rPr>
              <w:t xml:space="preserve"> V_1317_2020 </w:t>
            </w:r>
            <w:r w:rsidR="00553A94" w:rsidRPr="00912E9B">
              <w:rPr>
                <w:rFonts w:asciiTheme="majorHAnsi" w:hAnsiTheme="majorHAnsi" w:cstheme="majorHAnsi"/>
                <w:sz w:val="22"/>
                <w:szCs w:val="22"/>
              </w:rPr>
              <w:t>of date</w:t>
            </w:r>
            <w:r w:rsidR="00436F14" w:rsidRPr="00912E9B">
              <w:rPr>
                <w:rFonts w:asciiTheme="majorHAnsi" w:hAnsiTheme="majorHAnsi" w:cstheme="majorHAnsi"/>
                <w:sz w:val="22"/>
                <w:szCs w:val="22"/>
              </w:rPr>
              <w:t xml:space="preserve"> </w:t>
            </w:r>
            <w:r w:rsidR="00436F14" w:rsidRPr="00912E9B">
              <w:rPr>
                <w:sz w:val="22"/>
                <w:szCs w:val="22"/>
              </w:rPr>
              <w:t>12.11.2020.</w:t>
            </w:r>
          </w:p>
        </w:tc>
      </w:tr>
      <w:tr w:rsidR="009B7A31" w:rsidRPr="00912E9B" w14:paraId="5BDE0B19" w14:textId="77777777" w:rsidTr="00D40051">
        <w:trPr>
          <w:cantSplit/>
        </w:trPr>
        <w:tc>
          <w:tcPr>
            <w:tcW w:w="2298" w:type="dxa"/>
            <w:shd w:val="clear" w:color="auto" w:fill="auto"/>
            <w:vAlign w:val="center"/>
          </w:tcPr>
          <w:p w14:paraId="4F22C09B" w14:textId="2C249087" w:rsidR="00966280" w:rsidRPr="00912E9B" w:rsidRDefault="00966280" w:rsidP="00966280">
            <w:pPr>
              <w:pStyle w:val="CERGlossaryTerm"/>
              <w:rPr>
                <w:rFonts w:asciiTheme="majorHAnsi" w:hAnsiTheme="majorHAnsi" w:cstheme="majorHAnsi"/>
                <w:sz w:val="22"/>
                <w:szCs w:val="22"/>
              </w:rPr>
            </w:pPr>
            <w:r w:rsidRPr="00912E9B">
              <w:rPr>
                <w:rFonts w:asciiTheme="minorHAnsi" w:hAnsiTheme="minorHAnsi" w:cstheme="minorHAnsi"/>
                <w:sz w:val="22"/>
                <w:szCs w:val="22"/>
              </w:rPr>
              <w:t>Capacity Management Module</w:t>
            </w:r>
          </w:p>
        </w:tc>
        <w:tc>
          <w:tcPr>
            <w:tcW w:w="7088" w:type="dxa"/>
            <w:shd w:val="clear" w:color="auto" w:fill="auto"/>
            <w:vAlign w:val="center"/>
          </w:tcPr>
          <w:p w14:paraId="0343D20E" w14:textId="3C898340"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System containing the updated information regarding the available Cross Zonal Capacity, with the purpose of distributing Cross Zonal Capacity for Continuous Trading.</w:t>
            </w:r>
          </w:p>
        </w:tc>
      </w:tr>
      <w:tr w:rsidR="009B7A31" w:rsidRPr="00912E9B" w14:paraId="4B04AD5D" w14:textId="77777777" w:rsidTr="00D40051">
        <w:trPr>
          <w:cantSplit/>
        </w:trPr>
        <w:tc>
          <w:tcPr>
            <w:tcW w:w="2298" w:type="dxa"/>
            <w:shd w:val="clear" w:color="auto" w:fill="auto"/>
            <w:vAlign w:val="center"/>
          </w:tcPr>
          <w:p w14:paraId="7AC7BC93" w14:textId="1FA24C13" w:rsidR="00966280" w:rsidRPr="00912E9B" w:rsidRDefault="00966280" w:rsidP="00966280">
            <w:pPr>
              <w:pStyle w:val="CERGlossaryTerm"/>
              <w:rPr>
                <w:rFonts w:asciiTheme="minorHAnsi" w:eastAsiaTheme="minorEastAsia" w:hAnsiTheme="minorHAnsi" w:cstheme="minorHAnsi"/>
                <w:sz w:val="22"/>
                <w:szCs w:val="22"/>
              </w:rPr>
            </w:pPr>
            <w:r w:rsidRPr="00912E9B">
              <w:rPr>
                <w:rFonts w:asciiTheme="minorHAnsi" w:hAnsiTheme="minorHAnsi" w:cstheme="minorHAnsi"/>
                <w:sz w:val="22"/>
                <w:szCs w:val="22"/>
              </w:rPr>
              <w:t>Cash Collateral Account</w:t>
            </w:r>
          </w:p>
        </w:tc>
        <w:tc>
          <w:tcPr>
            <w:tcW w:w="7088" w:type="dxa"/>
            <w:shd w:val="clear" w:color="auto" w:fill="auto"/>
            <w:vAlign w:val="center"/>
          </w:tcPr>
          <w:p w14:paraId="5B9A56E6" w14:textId="1FD25775" w:rsidR="00966280" w:rsidRPr="00912E9B" w:rsidRDefault="00966280" w:rsidP="00D40051">
            <w:pPr>
              <w:pStyle w:val="CERGlossaryDefinition"/>
              <w:rPr>
                <w:rFonts w:asciiTheme="minorHAnsi" w:hAnsiTheme="minorHAnsi" w:cstheme="minorHAnsi"/>
                <w:sz w:val="22"/>
                <w:szCs w:val="22"/>
              </w:rPr>
            </w:pPr>
            <w:r w:rsidRPr="00912E9B">
              <w:rPr>
                <w:rFonts w:asciiTheme="minorHAnsi" w:hAnsiTheme="minorHAnsi" w:cstheme="minorHAnsi"/>
                <w:sz w:val="22"/>
                <w:szCs w:val="22"/>
              </w:rPr>
              <w:t xml:space="preserve">means a </w:t>
            </w:r>
            <w:r w:rsidR="00F34211" w:rsidRPr="00912E9B">
              <w:rPr>
                <w:rFonts w:asciiTheme="minorHAnsi" w:hAnsiTheme="minorHAnsi" w:cstheme="minorHAnsi"/>
                <w:sz w:val="22"/>
                <w:szCs w:val="22"/>
              </w:rPr>
              <w:t xml:space="preserve">joint </w:t>
            </w:r>
            <w:r w:rsidRPr="00912E9B">
              <w:rPr>
                <w:rFonts w:asciiTheme="minorHAnsi" w:hAnsiTheme="minorHAnsi" w:cstheme="minorHAnsi"/>
                <w:sz w:val="22"/>
                <w:szCs w:val="22"/>
              </w:rPr>
              <w:t>Bank Account established by a Clearing Member and ALPEX in the name of the ALPEX</w:t>
            </w:r>
            <w:r w:rsidR="001F0D02" w:rsidRPr="00912E9B">
              <w:rPr>
                <w:rFonts w:asciiTheme="minorHAnsi" w:hAnsiTheme="minorHAnsi" w:cstheme="minorHAnsi"/>
                <w:sz w:val="22"/>
                <w:szCs w:val="22"/>
              </w:rPr>
              <w:t>,</w:t>
            </w:r>
            <w:r w:rsidRPr="00912E9B">
              <w:rPr>
                <w:rFonts w:asciiTheme="minorHAnsi" w:hAnsiTheme="minorHAnsi" w:cstheme="minorHAnsi"/>
                <w:sz w:val="22"/>
                <w:szCs w:val="22"/>
              </w:rPr>
              <w:t xml:space="preserve"> pursuant to section G.2.2 </w:t>
            </w:r>
            <w:r w:rsidR="004A49D5" w:rsidRPr="00912E9B">
              <w:rPr>
                <w:rFonts w:asciiTheme="minorHAnsi" w:hAnsiTheme="minorHAnsi" w:cstheme="minorHAnsi"/>
                <w:sz w:val="22"/>
                <w:szCs w:val="22"/>
              </w:rPr>
              <w:t>of the Clearing and Settlement Procedures</w:t>
            </w:r>
            <w:r w:rsidR="001F0D02" w:rsidRPr="00912E9B">
              <w:rPr>
                <w:rFonts w:asciiTheme="minorHAnsi" w:hAnsiTheme="minorHAnsi" w:cstheme="minorHAnsi"/>
                <w:sz w:val="22"/>
                <w:szCs w:val="22"/>
              </w:rPr>
              <w:t>,</w:t>
            </w:r>
            <w:r w:rsidR="004A49D5" w:rsidRPr="00912E9B">
              <w:rPr>
                <w:rFonts w:asciiTheme="minorHAnsi" w:hAnsiTheme="minorHAnsi" w:cstheme="minorHAnsi"/>
                <w:sz w:val="22"/>
                <w:szCs w:val="22"/>
              </w:rPr>
              <w:t xml:space="preserve"> </w:t>
            </w:r>
            <w:r w:rsidRPr="00912E9B">
              <w:rPr>
                <w:rFonts w:asciiTheme="minorHAnsi" w:hAnsiTheme="minorHAnsi" w:cstheme="minorHAnsi"/>
                <w:sz w:val="22"/>
                <w:szCs w:val="22"/>
              </w:rPr>
              <w:t xml:space="preserve">for the purpose of comprising part or </w:t>
            </w:r>
            <w:proofErr w:type="gramStart"/>
            <w:r w:rsidRPr="00912E9B">
              <w:rPr>
                <w:rFonts w:asciiTheme="minorHAnsi" w:hAnsiTheme="minorHAnsi" w:cstheme="minorHAnsi"/>
                <w:sz w:val="22"/>
                <w:szCs w:val="22"/>
              </w:rPr>
              <w:t>all of</w:t>
            </w:r>
            <w:proofErr w:type="gramEnd"/>
            <w:r w:rsidRPr="00912E9B">
              <w:rPr>
                <w:rFonts w:asciiTheme="minorHAnsi" w:hAnsiTheme="minorHAnsi" w:cstheme="minorHAnsi"/>
                <w:sz w:val="22"/>
                <w:szCs w:val="22"/>
              </w:rPr>
              <w:t xml:space="preserve"> the Clearing Member’s Credit Limit.</w:t>
            </w:r>
          </w:p>
        </w:tc>
      </w:tr>
      <w:tr w:rsidR="009B7A31" w:rsidRPr="00912E9B" w14:paraId="02FC3D7F" w14:textId="77777777" w:rsidTr="00D40051">
        <w:trPr>
          <w:cantSplit/>
        </w:trPr>
        <w:tc>
          <w:tcPr>
            <w:tcW w:w="2298" w:type="dxa"/>
            <w:shd w:val="clear" w:color="auto" w:fill="auto"/>
            <w:vAlign w:val="center"/>
          </w:tcPr>
          <w:p w14:paraId="33746890" w14:textId="78DAF129" w:rsidR="00966280" w:rsidRPr="00912E9B" w:rsidRDefault="00966280" w:rsidP="00966280">
            <w:pPr>
              <w:pStyle w:val="CERGlossaryTerm"/>
              <w:rPr>
                <w:rFonts w:asciiTheme="majorHAnsi" w:hAnsiTheme="majorHAnsi" w:cstheme="majorHAnsi"/>
                <w:sz w:val="22"/>
                <w:szCs w:val="22"/>
              </w:rPr>
            </w:pPr>
            <w:r w:rsidRPr="00912E9B">
              <w:rPr>
                <w:rFonts w:asciiTheme="minorHAnsi" w:eastAsiaTheme="minorEastAsia" w:hAnsiTheme="minorHAnsi" w:cstheme="minorHAnsi"/>
                <w:sz w:val="22"/>
                <w:szCs w:val="22"/>
              </w:rPr>
              <w:t>Cash Settlement</w:t>
            </w:r>
          </w:p>
        </w:tc>
        <w:tc>
          <w:tcPr>
            <w:tcW w:w="7088" w:type="dxa"/>
            <w:shd w:val="clear" w:color="auto" w:fill="auto"/>
            <w:vAlign w:val="center"/>
          </w:tcPr>
          <w:p w14:paraId="13DC3C26" w14:textId="0262B267" w:rsidR="00966280" w:rsidRPr="00912E9B" w:rsidRDefault="00966280"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The process implemented by ALPEX for the fulfilment of cash obligations and the collection of the corresponding amounts due among Clearing Members which arise from the clearing of Electricity Transactions in accordance with Clearing and Settlement Procedures</w:t>
            </w:r>
          </w:p>
        </w:tc>
      </w:tr>
      <w:tr w:rsidR="009B7A31" w:rsidRPr="00912E9B" w14:paraId="47B60F78" w14:textId="77777777" w:rsidTr="00D40051">
        <w:trPr>
          <w:cantSplit/>
        </w:trPr>
        <w:tc>
          <w:tcPr>
            <w:tcW w:w="2298" w:type="dxa"/>
            <w:shd w:val="clear" w:color="auto" w:fill="auto"/>
            <w:vAlign w:val="center"/>
          </w:tcPr>
          <w:p w14:paraId="1E0707F3" w14:textId="1F62BA50" w:rsidR="00966280" w:rsidRPr="00912E9B" w:rsidRDefault="00966280" w:rsidP="00966280">
            <w:pPr>
              <w:pStyle w:val="CERGlossaryTerm"/>
              <w:rPr>
                <w:rFonts w:asciiTheme="majorHAnsi" w:hAnsiTheme="majorHAnsi" w:cstheme="majorHAnsi"/>
                <w:sz w:val="22"/>
                <w:szCs w:val="22"/>
              </w:rPr>
            </w:pPr>
            <w:r w:rsidRPr="00912E9B">
              <w:rPr>
                <w:rFonts w:asciiTheme="minorHAnsi" w:hAnsiTheme="minorHAnsi" w:cstheme="minorHAnsi"/>
                <w:sz w:val="22"/>
                <w:szCs w:val="22"/>
              </w:rPr>
              <w:t>Cash Settlement Account</w:t>
            </w:r>
          </w:p>
        </w:tc>
        <w:tc>
          <w:tcPr>
            <w:tcW w:w="7088" w:type="dxa"/>
            <w:shd w:val="clear" w:color="auto" w:fill="auto"/>
            <w:vAlign w:val="center"/>
          </w:tcPr>
          <w:p w14:paraId="0EC8C83A" w14:textId="76421E05" w:rsidR="00966280" w:rsidRPr="00912E9B" w:rsidRDefault="00966280"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The joint </w:t>
            </w:r>
            <w:r w:rsidR="00F14194" w:rsidRPr="00912E9B">
              <w:rPr>
                <w:rFonts w:asciiTheme="minorHAnsi" w:hAnsiTheme="minorHAnsi" w:cstheme="minorHAnsi"/>
                <w:sz w:val="22"/>
                <w:szCs w:val="22"/>
              </w:rPr>
              <w:t>bank</w:t>
            </w:r>
            <w:r w:rsidRPr="00912E9B">
              <w:rPr>
                <w:rFonts w:asciiTheme="minorHAnsi" w:hAnsiTheme="minorHAnsi" w:cstheme="minorHAnsi"/>
                <w:sz w:val="22"/>
                <w:szCs w:val="22"/>
              </w:rPr>
              <w:t xml:space="preserve"> account and any subaccount thereof, held </w:t>
            </w:r>
            <w:r w:rsidR="00114B23" w:rsidRPr="00912E9B">
              <w:rPr>
                <w:rFonts w:asciiTheme="minorHAnsi" w:hAnsiTheme="minorHAnsi" w:cstheme="minorHAnsi"/>
                <w:sz w:val="22"/>
                <w:szCs w:val="22"/>
              </w:rPr>
              <w:t>at</w:t>
            </w:r>
            <w:r w:rsidRPr="00912E9B">
              <w:rPr>
                <w:rFonts w:asciiTheme="minorHAnsi" w:hAnsiTheme="minorHAnsi" w:cstheme="minorHAnsi"/>
                <w:sz w:val="22"/>
                <w:szCs w:val="22"/>
              </w:rPr>
              <w:t xml:space="preserve"> Settlement Bank from ALPEX and Clearing Members </w:t>
            </w:r>
            <w:proofErr w:type="gramStart"/>
            <w:r w:rsidRPr="00912E9B">
              <w:rPr>
                <w:rFonts w:asciiTheme="minorHAnsi" w:hAnsiTheme="minorHAnsi" w:cstheme="minorHAnsi"/>
                <w:sz w:val="22"/>
                <w:szCs w:val="22"/>
              </w:rPr>
              <w:t>in order to</w:t>
            </w:r>
            <w:proofErr w:type="gramEnd"/>
            <w:r w:rsidRPr="00912E9B">
              <w:rPr>
                <w:rFonts w:asciiTheme="minorHAnsi" w:hAnsiTheme="minorHAnsi" w:cstheme="minorHAnsi"/>
                <w:sz w:val="22"/>
                <w:szCs w:val="22"/>
              </w:rPr>
              <w:t xml:space="preserve"> perform the Cash Settlement of Electricity Transactions in accordance with the Clearing and Settlement Procedures</w:t>
            </w:r>
          </w:p>
        </w:tc>
      </w:tr>
      <w:tr w:rsidR="009B7A31" w:rsidRPr="00912E9B" w14:paraId="26DEEF32" w14:textId="77777777" w:rsidTr="00D40051">
        <w:trPr>
          <w:cantSplit/>
        </w:trPr>
        <w:tc>
          <w:tcPr>
            <w:tcW w:w="2298" w:type="dxa"/>
            <w:shd w:val="clear" w:color="auto" w:fill="auto"/>
            <w:vAlign w:val="center"/>
          </w:tcPr>
          <w:p w14:paraId="1B0AAB75" w14:textId="2B180952" w:rsidR="00966280" w:rsidRPr="00912E9B" w:rsidRDefault="00966280" w:rsidP="00966280">
            <w:pPr>
              <w:pStyle w:val="CERGlossaryTerm"/>
              <w:rPr>
                <w:rFonts w:asciiTheme="majorHAnsi" w:hAnsiTheme="majorHAnsi" w:cstheme="majorHAnsi"/>
                <w:sz w:val="22"/>
                <w:szCs w:val="22"/>
              </w:rPr>
            </w:pPr>
            <w:r w:rsidRPr="00912E9B">
              <w:rPr>
                <w:rFonts w:asciiTheme="minorHAnsi" w:hAnsiTheme="minorHAnsi" w:cstheme="minorHAnsi"/>
                <w:sz w:val="22"/>
                <w:szCs w:val="22"/>
              </w:rPr>
              <w:t>Central Bank</w:t>
            </w:r>
          </w:p>
        </w:tc>
        <w:tc>
          <w:tcPr>
            <w:tcW w:w="7088" w:type="dxa"/>
            <w:shd w:val="clear" w:color="auto" w:fill="auto"/>
            <w:vAlign w:val="center"/>
          </w:tcPr>
          <w:p w14:paraId="036077C2" w14:textId="4EDD1FBD" w:rsidR="00966280" w:rsidRPr="00912E9B" w:rsidRDefault="00966280"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The </w:t>
            </w:r>
            <w:r w:rsidR="0015343C" w:rsidRPr="00912E9B">
              <w:rPr>
                <w:rFonts w:asciiTheme="minorHAnsi" w:hAnsiTheme="minorHAnsi" w:cstheme="minorHAnsi"/>
                <w:sz w:val="22"/>
                <w:szCs w:val="22"/>
              </w:rPr>
              <w:t xml:space="preserve">Bank of Albania </w:t>
            </w:r>
            <w:r w:rsidRPr="00912E9B">
              <w:rPr>
                <w:rFonts w:asciiTheme="minorHAnsi" w:hAnsiTheme="minorHAnsi" w:cstheme="minorHAnsi"/>
                <w:sz w:val="22"/>
                <w:szCs w:val="22"/>
              </w:rPr>
              <w:t xml:space="preserve">in the Republic of Albania is referring to </w:t>
            </w:r>
            <w:proofErr w:type="gramStart"/>
            <w:r w:rsidRPr="00912E9B">
              <w:rPr>
                <w:rFonts w:asciiTheme="minorHAnsi" w:hAnsiTheme="minorHAnsi" w:cstheme="minorHAnsi"/>
                <w:sz w:val="22"/>
                <w:szCs w:val="22"/>
              </w:rPr>
              <w:t>the and</w:t>
            </w:r>
            <w:proofErr w:type="gramEnd"/>
            <w:r w:rsidRPr="00912E9B">
              <w:rPr>
                <w:rFonts w:asciiTheme="minorHAnsi" w:hAnsiTheme="minorHAnsi" w:cstheme="minorHAnsi"/>
                <w:sz w:val="22"/>
                <w:szCs w:val="22"/>
              </w:rPr>
              <w:t xml:space="preserve"> in the Republic of Kosovo is referring to the Central Bank of the Republic of Kosovo.</w:t>
            </w:r>
          </w:p>
        </w:tc>
      </w:tr>
      <w:tr w:rsidR="009B7A31" w:rsidRPr="00912E9B" w14:paraId="3F351320" w14:textId="77777777" w:rsidTr="00D40051">
        <w:trPr>
          <w:cantSplit/>
        </w:trPr>
        <w:tc>
          <w:tcPr>
            <w:tcW w:w="2298" w:type="dxa"/>
            <w:shd w:val="clear" w:color="auto" w:fill="auto"/>
            <w:vAlign w:val="center"/>
          </w:tcPr>
          <w:p w14:paraId="4D537ECA" w14:textId="4C51B84A" w:rsidR="00966280" w:rsidRPr="00912E9B" w:rsidRDefault="00966280" w:rsidP="00966280">
            <w:pPr>
              <w:pStyle w:val="CERGlossaryTerm"/>
              <w:rPr>
                <w:rFonts w:asciiTheme="majorHAnsi" w:hAnsiTheme="majorHAnsi" w:cstheme="majorHAnsi"/>
                <w:sz w:val="22"/>
                <w:szCs w:val="22"/>
              </w:rPr>
            </w:pPr>
            <w:r w:rsidRPr="00912E9B">
              <w:rPr>
                <w:rFonts w:asciiTheme="majorHAnsi" w:hAnsiTheme="majorHAnsi" w:cstheme="majorHAnsi"/>
                <w:sz w:val="22"/>
                <w:szCs w:val="22"/>
              </w:rPr>
              <w:t>Central Counterparty</w:t>
            </w:r>
          </w:p>
        </w:tc>
        <w:tc>
          <w:tcPr>
            <w:tcW w:w="7088" w:type="dxa"/>
            <w:shd w:val="clear" w:color="auto" w:fill="auto"/>
            <w:vAlign w:val="center"/>
          </w:tcPr>
          <w:p w14:paraId="1733F46F" w14:textId="7D102BFA" w:rsidR="00966280" w:rsidRPr="00912E9B" w:rsidRDefault="00966280"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w:t>
            </w:r>
            <w:r w:rsidR="00E24758" w:rsidRPr="00912E9B">
              <w:rPr>
                <w:rFonts w:asciiTheme="majorHAnsi" w:hAnsiTheme="majorHAnsi" w:cstheme="majorHAnsi"/>
                <w:sz w:val="22"/>
                <w:szCs w:val="22"/>
              </w:rPr>
              <w:t xml:space="preserve">ALPEX </w:t>
            </w:r>
            <w:r w:rsidR="000E22B9" w:rsidRPr="00912E9B">
              <w:rPr>
                <w:rFonts w:asciiTheme="majorHAnsi" w:hAnsiTheme="majorHAnsi" w:cstheme="majorHAnsi"/>
                <w:sz w:val="22"/>
                <w:szCs w:val="22"/>
              </w:rPr>
              <w:t xml:space="preserve">which is between Parties regarding to Contracts </w:t>
            </w:r>
            <w:r w:rsidR="00D640A9" w:rsidRPr="00912E9B">
              <w:rPr>
                <w:rFonts w:asciiTheme="majorHAnsi" w:hAnsiTheme="majorHAnsi" w:cstheme="majorHAnsi"/>
                <w:sz w:val="22"/>
                <w:szCs w:val="22"/>
              </w:rPr>
              <w:t>arising from ALPEX Markets.</w:t>
            </w:r>
          </w:p>
        </w:tc>
      </w:tr>
      <w:tr w:rsidR="009B7A31" w:rsidRPr="00912E9B" w14:paraId="5CAF1482" w14:textId="77777777" w:rsidTr="00D40051">
        <w:trPr>
          <w:cantSplit/>
        </w:trPr>
        <w:tc>
          <w:tcPr>
            <w:tcW w:w="2298" w:type="dxa"/>
            <w:shd w:val="clear" w:color="auto" w:fill="auto"/>
            <w:vAlign w:val="center"/>
          </w:tcPr>
          <w:p w14:paraId="55F19317" w14:textId="20A8A439" w:rsidR="00966280" w:rsidRPr="00912E9B" w:rsidRDefault="00966280" w:rsidP="00966280">
            <w:pPr>
              <w:pStyle w:val="CERGlossaryTerm"/>
              <w:rPr>
                <w:rFonts w:asciiTheme="majorHAnsi" w:hAnsiTheme="majorHAnsi" w:cstheme="majorHAnsi"/>
                <w:sz w:val="22"/>
                <w:szCs w:val="22"/>
              </w:rPr>
            </w:pPr>
            <w:r w:rsidRPr="00912E9B">
              <w:rPr>
                <w:rFonts w:asciiTheme="minorHAnsi" w:eastAsiaTheme="minorEastAsia" w:hAnsiTheme="minorHAnsi" w:cstheme="minorHAnsi"/>
                <w:sz w:val="22"/>
                <w:szCs w:val="22"/>
              </w:rPr>
              <w:t>Certified Clearer</w:t>
            </w:r>
          </w:p>
        </w:tc>
        <w:tc>
          <w:tcPr>
            <w:tcW w:w="7088" w:type="dxa"/>
            <w:shd w:val="clear" w:color="auto" w:fill="auto"/>
            <w:vAlign w:val="center"/>
          </w:tcPr>
          <w:p w14:paraId="2FA4B48B" w14:textId="5DEBDF43" w:rsidR="00966280" w:rsidRPr="00912E9B" w:rsidRDefault="00966280"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means a person who has been certified by ALPEX to perform Clearing and Settlement operations at a Clearing Member with regards Electricity Transaction</w:t>
            </w:r>
            <w:r w:rsidR="00E068B3" w:rsidRPr="00912E9B">
              <w:rPr>
                <w:rFonts w:asciiTheme="majorHAnsi" w:hAnsiTheme="majorHAnsi" w:cstheme="majorHAnsi"/>
                <w:sz w:val="22"/>
                <w:szCs w:val="22"/>
              </w:rPr>
              <w:t xml:space="preserve"> in accordance with </w:t>
            </w:r>
            <w:r w:rsidR="000662F0" w:rsidRPr="00912E9B">
              <w:rPr>
                <w:rFonts w:asciiTheme="majorHAnsi" w:hAnsiTheme="majorHAnsi" w:cstheme="majorHAnsi"/>
                <w:sz w:val="22"/>
                <w:szCs w:val="22"/>
              </w:rPr>
              <w:t>ALPEX Rules and Procedures</w:t>
            </w:r>
            <w:r w:rsidR="00E068B3" w:rsidRPr="00912E9B">
              <w:rPr>
                <w:rFonts w:asciiTheme="majorHAnsi" w:hAnsiTheme="majorHAnsi" w:cstheme="majorHAnsi"/>
                <w:sz w:val="22"/>
                <w:szCs w:val="22"/>
              </w:rPr>
              <w:t>.</w:t>
            </w:r>
          </w:p>
        </w:tc>
      </w:tr>
      <w:tr w:rsidR="00164AC7" w:rsidRPr="00912E9B" w14:paraId="4D980F0F" w14:textId="77777777" w:rsidTr="00D40051">
        <w:trPr>
          <w:cantSplit/>
        </w:trPr>
        <w:tc>
          <w:tcPr>
            <w:tcW w:w="2298" w:type="dxa"/>
            <w:shd w:val="clear" w:color="auto" w:fill="auto"/>
            <w:vAlign w:val="center"/>
          </w:tcPr>
          <w:p w14:paraId="1622801C" w14:textId="6151C42E"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Certified Trader</w:t>
            </w:r>
          </w:p>
        </w:tc>
        <w:tc>
          <w:tcPr>
            <w:tcW w:w="7088" w:type="dxa"/>
            <w:shd w:val="clear" w:color="auto" w:fill="auto"/>
            <w:vAlign w:val="center"/>
          </w:tcPr>
          <w:p w14:paraId="44997130" w14:textId="0004DA9B"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person, who is certified by ALPEX and is eligible for being authorized to </w:t>
            </w:r>
            <w:r w:rsidR="00414A87" w:rsidRPr="00912E9B">
              <w:rPr>
                <w:rFonts w:asciiTheme="majorHAnsi" w:hAnsiTheme="majorHAnsi" w:cstheme="majorHAnsi"/>
                <w:sz w:val="22"/>
                <w:szCs w:val="22"/>
              </w:rPr>
              <w:t>conduct</w:t>
            </w:r>
            <w:r w:rsidRPr="00912E9B">
              <w:rPr>
                <w:rFonts w:asciiTheme="majorHAnsi" w:hAnsiTheme="majorHAnsi" w:cstheme="majorHAnsi"/>
                <w:sz w:val="22"/>
                <w:szCs w:val="22"/>
              </w:rPr>
              <w:t xml:space="preserve"> trading on behalf of a</w:t>
            </w:r>
            <w:r w:rsidRPr="00912E9B">
              <w:rPr>
                <w:rFonts w:asciiTheme="majorHAnsi" w:hAnsiTheme="majorHAnsi" w:cstheme="majorHAnsi"/>
                <w:sz w:val="22"/>
                <w:szCs w:val="22"/>
                <w:lang w:val="en-US"/>
              </w:rPr>
              <w:t>n</w:t>
            </w:r>
            <w:r w:rsidRPr="00912E9B">
              <w:rPr>
                <w:rFonts w:asciiTheme="majorHAnsi" w:hAnsiTheme="majorHAnsi" w:cstheme="majorHAnsi"/>
                <w:sz w:val="22"/>
                <w:szCs w:val="22"/>
              </w:rPr>
              <w:t xml:space="preserve"> Exchange Member, in accordance with ALPEX Rules</w:t>
            </w:r>
            <w:r w:rsidR="000662F0" w:rsidRPr="00912E9B">
              <w:rPr>
                <w:rFonts w:asciiTheme="majorHAnsi" w:hAnsiTheme="majorHAnsi" w:cstheme="majorHAnsi"/>
                <w:sz w:val="22"/>
                <w:szCs w:val="22"/>
              </w:rPr>
              <w:t xml:space="preserve"> and Procedures</w:t>
            </w:r>
            <w:r w:rsidRPr="00912E9B">
              <w:rPr>
                <w:rFonts w:asciiTheme="majorHAnsi" w:hAnsiTheme="majorHAnsi" w:cstheme="majorHAnsi"/>
                <w:sz w:val="22"/>
                <w:szCs w:val="22"/>
              </w:rPr>
              <w:t>.</w:t>
            </w:r>
          </w:p>
        </w:tc>
      </w:tr>
      <w:tr w:rsidR="00641B56" w:rsidRPr="00912E9B" w14:paraId="25CE126A" w14:textId="77777777" w:rsidTr="00D40051">
        <w:trPr>
          <w:cantSplit/>
        </w:trPr>
        <w:tc>
          <w:tcPr>
            <w:tcW w:w="2298" w:type="dxa"/>
            <w:shd w:val="clear" w:color="auto" w:fill="auto"/>
            <w:vAlign w:val="center"/>
          </w:tcPr>
          <w:p w14:paraId="3A103136" w14:textId="2F60DA16" w:rsidR="00641B56" w:rsidRPr="00912E9B" w:rsidRDefault="00641B56"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Charges</w:t>
            </w:r>
          </w:p>
        </w:tc>
        <w:tc>
          <w:tcPr>
            <w:tcW w:w="7088" w:type="dxa"/>
            <w:shd w:val="clear" w:color="auto" w:fill="auto"/>
            <w:vAlign w:val="center"/>
          </w:tcPr>
          <w:p w14:paraId="1A3CB3E5" w14:textId="19098120" w:rsidR="00641B56" w:rsidRPr="00912E9B" w:rsidRDefault="00641B56"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variable </w:t>
            </w:r>
            <w:r w:rsidR="00443D71" w:rsidRPr="00912E9B">
              <w:rPr>
                <w:rFonts w:asciiTheme="majorHAnsi" w:hAnsiTheme="majorHAnsi" w:cstheme="majorHAnsi"/>
                <w:sz w:val="22"/>
                <w:szCs w:val="22"/>
              </w:rPr>
              <w:t xml:space="preserve">amount to be paid from an Exchange Members </w:t>
            </w:r>
            <w:r w:rsidR="00216F25" w:rsidRPr="00912E9B">
              <w:rPr>
                <w:rFonts w:asciiTheme="majorHAnsi" w:hAnsiTheme="majorHAnsi" w:cstheme="majorHAnsi"/>
                <w:sz w:val="22"/>
                <w:szCs w:val="22"/>
              </w:rPr>
              <w:t xml:space="preserve">for its </w:t>
            </w:r>
            <w:r w:rsidR="004D6627" w:rsidRPr="00912E9B">
              <w:rPr>
                <w:rFonts w:asciiTheme="majorHAnsi" w:hAnsiTheme="majorHAnsi" w:cstheme="majorHAnsi"/>
                <w:sz w:val="22"/>
                <w:szCs w:val="22"/>
              </w:rPr>
              <w:t>tradi</w:t>
            </w:r>
            <w:r w:rsidR="00216F25" w:rsidRPr="00912E9B">
              <w:rPr>
                <w:rFonts w:asciiTheme="majorHAnsi" w:hAnsiTheme="majorHAnsi" w:cstheme="majorHAnsi"/>
                <w:sz w:val="22"/>
                <w:szCs w:val="22"/>
              </w:rPr>
              <w:t xml:space="preserve">ng </w:t>
            </w:r>
            <w:r w:rsidR="005B01A0" w:rsidRPr="00912E9B">
              <w:rPr>
                <w:rFonts w:asciiTheme="majorHAnsi" w:hAnsiTheme="majorHAnsi" w:cstheme="majorHAnsi"/>
                <w:sz w:val="22"/>
                <w:szCs w:val="22"/>
              </w:rPr>
              <w:t xml:space="preserve">and clearing </w:t>
            </w:r>
            <w:r w:rsidR="00216F25" w:rsidRPr="00912E9B">
              <w:rPr>
                <w:rFonts w:asciiTheme="majorHAnsi" w:hAnsiTheme="majorHAnsi" w:cstheme="majorHAnsi"/>
                <w:sz w:val="22"/>
                <w:szCs w:val="22"/>
              </w:rPr>
              <w:t>in ALPEX Markets</w:t>
            </w:r>
            <w:r w:rsidR="00FE0718" w:rsidRPr="00912E9B">
              <w:rPr>
                <w:rFonts w:asciiTheme="majorHAnsi" w:hAnsiTheme="majorHAnsi" w:cstheme="majorHAnsi"/>
                <w:sz w:val="22"/>
                <w:szCs w:val="22"/>
              </w:rPr>
              <w:t>.</w:t>
            </w:r>
          </w:p>
        </w:tc>
      </w:tr>
      <w:tr w:rsidR="009B7A31" w:rsidRPr="00912E9B" w14:paraId="69C97590" w14:textId="77777777" w:rsidTr="00D40051">
        <w:trPr>
          <w:cantSplit/>
        </w:trPr>
        <w:tc>
          <w:tcPr>
            <w:tcW w:w="2298" w:type="dxa"/>
            <w:shd w:val="clear" w:color="auto" w:fill="auto"/>
            <w:vAlign w:val="center"/>
          </w:tcPr>
          <w:p w14:paraId="05787A3B" w14:textId="702C686C"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Child block</w:t>
            </w:r>
          </w:p>
        </w:tc>
        <w:tc>
          <w:tcPr>
            <w:tcW w:w="7088" w:type="dxa"/>
            <w:shd w:val="clear" w:color="auto" w:fill="auto"/>
            <w:vAlign w:val="center"/>
          </w:tcPr>
          <w:p w14:paraId="79F5E7C5" w14:textId="25F730EA"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block depending its acceptance on the acceptance of another block</w:t>
            </w:r>
          </w:p>
        </w:tc>
      </w:tr>
      <w:tr w:rsidR="009B7A31" w:rsidRPr="00912E9B" w14:paraId="0A9C9947" w14:textId="77777777" w:rsidTr="00D40051">
        <w:trPr>
          <w:cantSplit/>
        </w:trPr>
        <w:tc>
          <w:tcPr>
            <w:tcW w:w="2298" w:type="dxa"/>
            <w:shd w:val="clear" w:color="auto" w:fill="auto"/>
            <w:vAlign w:val="center"/>
          </w:tcPr>
          <w:p w14:paraId="2EC92580" w14:textId="33DA34FF"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Clearing</w:t>
            </w:r>
          </w:p>
        </w:tc>
        <w:tc>
          <w:tcPr>
            <w:tcW w:w="7088" w:type="dxa"/>
            <w:shd w:val="clear" w:color="auto" w:fill="auto"/>
            <w:vAlign w:val="center"/>
          </w:tcPr>
          <w:p w14:paraId="75B06195" w14:textId="73F2B57D" w:rsidR="00164AC7" w:rsidRPr="00912E9B" w:rsidRDefault="00164AC7" w:rsidP="00D40051">
            <w:pPr>
              <w:pStyle w:val="CERGlossaryDefinition"/>
              <w:rPr>
                <w:rFonts w:asciiTheme="majorHAnsi" w:hAnsiTheme="majorHAnsi" w:cstheme="majorHAnsi"/>
                <w:sz w:val="22"/>
                <w:szCs w:val="22"/>
                <w:lang w:val="en-US"/>
              </w:rPr>
            </w:pPr>
            <w:r w:rsidRPr="00912E9B">
              <w:rPr>
                <w:rFonts w:asciiTheme="majorHAnsi" w:hAnsiTheme="majorHAnsi" w:cstheme="majorHAnsi"/>
                <w:sz w:val="22"/>
                <w:szCs w:val="22"/>
              </w:rPr>
              <w:t xml:space="preserve">The process implemented by ALPEX to establish Positions, including calculation of Clearing Members Credits or Debits towards ALPEX, which arise per Clearing Account, related to the aforesaid Positions, as well as to ensure the availability of cash to </w:t>
            </w:r>
            <w:r w:rsidR="008212E2" w:rsidRPr="00912E9B">
              <w:rPr>
                <w:rFonts w:asciiTheme="majorHAnsi" w:hAnsiTheme="majorHAnsi" w:cstheme="majorHAnsi"/>
                <w:sz w:val="22"/>
                <w:szCs w:val="22"/>
              </w:rPr>
              <w:t>guarantee</w:t>
            </w:r>
            <w:r w:rsidRPr="00912E9B">
              <w:rPr>
                <w:rFonts w:asciiTheme="majorHAnsi" w:hAnsiTheme="majorHAnsi" w:cstheme="majorHAnsi"/>
                <w:sz w:val="22"/>
                <w:szCs w:val="22"/>
              </w:rPr>
              <w:t xml:space="preserve"> the exposure to ALPEX, which arises from those Positions, in accordance with the provisions of Clearing and Settlement Procedures. </w:t>
            </w:r>
          </w:p>
        </w:tc>
      </w:tr>
      <w:tr w:rsidR="009B7A31" w:rsidRPr="00912E9B" w14:paraId="3543C6A8" w14:textId="77777777" w:rsidTr="00D40051">
        <w:trPr>
          <w:cantSplit/>
        </w:trPr>
        <w:tc>
          <w:tcPr>
            <w:tcW w:w="2298" w:type="dxa"/>
            <w:shd w:val="clear" w:color="auto" w:fill="auto"/>
            <w:vAlign w:val="center"/>
          </w:tcPr>
          <w:p w14:paraId="05EE5353" w14:textId="2ADE2E55" w:rsidR="00164AC7" w:rsidRPr="00912E9B" w:rsidRDefault="00164AC7" w:rsidP="00164AC7">
            <w:pPr>
              <w:pStyle w:val="CERGlossaryTerm"/>
              <w:rPr>
                <w:rFonts w:asciiTheme="majorHAnsi" w:hAnsiTheme="majorHAnsi" w:cstheme="majorHAnsi"/>
                <w:sz w:val="22"/>
                <w:szCs w:val="22"/>
              </w:rPr>
            </w:pPr>
            <w:r w:rsidRPr="00912E9B">
              <w:rPr>
                <w:rFonts w:asciiTheme="minorHAnsi" w:hAnsiTheme="minorHAnsi" w:cstheme="minorHAnsi"/>
                <w:sz w:val="22"/>
                <w:szCs w:val="22"/>
              </w:rPr>
              <w:t>Clearing Account</w:t>
            </w:r>
          </w:p>
        </w:tc>
        <w:tc>
          <w:tcPr>
            <w:tcW w:w="7088" w:type="dxa"/>
            <w:shd w:val="clear" w:color="auto" w:fill="auto"/>
            <w:vAlign w:val="center"/>
          </w:tcPr>
          <w:p w14:paraId="22FF3FEA" w14:textId="28A43E2F" w:rsidR="00164AC7" w:rsidRPr="00912E9B" w:rsidRDefault="00164AC7"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The Own Clearing Account or the Exchange Member Clearing </w:t>
            </w:r>
            <w:proofErr w:type="gramStart"/>
            <w:r w:rsidRPr="00912E9B">
              <w:rPr>
                <w:rFonts w:asciiTheme="minorHAnsi" w:hAnsiTheme="minorHAnsi" w:cstheme="minorHAnsi"/>
                <w:sz w:val="22"/>
                <w:szCs w:val="22"/>
              </w:rPr>
              <w:t>account, as the case may be</w:t>
            </w:r>
            <w:proofErr w:type="gramEnd"/>
            <w:r w:rsidRPr="00912E9B">
              <w:rPr>
                <w:rFonts w:asciiTheme="minorHAnsi" w:hAnsiTheme="minorHAnsi" w:cstheme="minorHAnsi"/>
                <w:sz w:val="22"/>
                <w:szCs w:val="22"/>
              </w:rPr>
              <w:t>.</w:t>
            </w:r>
          </w:p>
        </w:tc>
      </w:tr>
      <w:tr w:rsidR="009B7A31" w:rsidRPr="00912E9B" w14:paraId="281B38BA" w14:textId="77777777" w:rsidTr="00D40051">
        <w:trPr>
          <w:cantSplit/>
        </w:trPr>
        <w:tc>
          <w:tcPr>
            <w:tcW w:w="2298" w:type="dxa"/>
            <w:shd w:val="clear" w:color="auto" w:fill="auto"/>
            <w:vAlign w:val="center"/>
          </w:tcPr>
          <w:p w14:paraId="7A07AF0B" w14:textId="3B174AEC"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Clearing and Settlement Procedures</w:t>
            </w:r>
          </w:p>
        </w:tc>
        <w:tc>
          <w:tcPr>
            <w:tcW w:w="7088" w:type="dxa"/>
            <w:shd w:val="clear" w:color="auto" w:fill="auto"/>
            <w:vAlign w:val="center"/>
          </w:tcPr>
          <w:p w14:paraId="13D33169" w14:textId="3BB61642"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Clearing and Settlement Procedures document approved by Regulatory Authority which set out terms of the clearing and settlement arrangements for sale and purchase of wholesale electricity in ALPEX Markets.</w:t>
            </w:r>
          </w:p>
        </w:tc>
      </w:tr>
      <w:tr w:rsidR="009B7A31" w:rsidRPr="00912E9B" w14:paraId="54B0D211" w14:textId="77777777" w:rsidTr="00D40051">
        <w:trPr>
          <w:cantSplit/>
        </w:trPr>
        <w:tc>
          <w:tcPr>
            <w:tcW w:w="2298" w:type="dxa"/>
            <w:shd w:val="clear" w:color="auto" w:fill="auto"/>
            <w:vAlign w:val="center"/>
          </w:tcPr>
          <w:p w14:paraId="20A5E95B" w14:textId="2E6B362C"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Clearing Conditions</w:t>
            </w:r>
          </w:p>
        </w:tc>
        <w:tc>
          <w:tcPr>
            <w:tcW w:w="7088" w:type="dxa"/>
            <w:shd w:val="clear" w:color="auto" w:fill="auto"/>
            <w:vAlign w:val="center"/>
          </w:tcPr>
          <w:p w14:paraId="17F60880" w14:textId="76D41B29"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rules, procedures,</w:t>
            </w:r>
            <w:r w:rsidRPr="00912E9B">
              <w:rPr>
                <w:rFonts w:asciiTheme="majorHAnsi" w:eastAsiaTheme="minorEastAsia" w:hAnsiTheme="majorHAnsi" w:cstheme="majorHAnsi"/>
                <w:sz w:val="22"/>
                <w:szCs w:val="22"/>
                <w:lang w:eastAsia="en-IE"/>
              </w:rPr>
              <w:t xml:space="preserve"> </w:t>
            </w:r>
            <w:proofErr w:type="gramStart"/>
            <w:r w:rsidRPr="00912E9B">
              <w:rPr>
                <w:rFonts w:asciiTheme="majorHAnsi" w:eastAsiaTheme="minorEastAsia" w:hAnsiTheme="majorHAnsi" w:cstheme="majorHAnsi"/>
                <w:sz w:val="22"/>
                <w:szCs w:val="22"/>
                <w:lang w:eastAsia="en-IE"/>
              </w:rPr>
              <w:t>terms</w:t>
            </w:r>
            <w:proofErr w:type="gramEnd"/>
            <w:r w:rsidRPr="00912E9B">
              <w:rPr>
                <w:rFonts w:asciiTheme="majorHAnsi" w:eastAsiaTheme="minorEastAsia" w:hAnsiTheme="majorHAnsi" w:cstheme="majorHAnsi"/>
                <w:sz w:val="22"/>
                <w:szCs w:val="22"/>
                <w:lang w:eastAsia="en-IE"/>
              </w:rPr>
              <w:t xml:space="preserve"> and conditions</w:t>
            </w:r>
            <w:r w:rsidRPr="00912E9B">
              <w:rPr>
                <w:rFonts w:asciiTheme="majorHAnsi" w:hAnsiTheme="majorHAnsi" w:cstheme="majorHAnsi"/>
                <w:sz w:val="22"/>
                <w:szCs w:val="22"/>
              </w:rPr>
              <w:t xml:space="preserve"> of ALPEX in the role </w:t>
            </w:r>
            <w:r w:rsidRPr="00912E9B">
              <w:rPr>
                <w:rFonts w:asciiTheme="majorHAnsi" w:hAnsiTheme="majorHAnsi" w:cstheme="majorHAnsi"/>
                <w:sz w:val="22"/>
                <w:szCs w:val="22"/>
                <w:lang w:val="en-US"/>
              </w:rPr>
              <w:t>of Central Counterparty</w:t>
            </w:r>
            <w:r w:rsidRPr="00912E9B">
              <w:rPr>
                <w:rFonts w:asciiTheme="majorHAnsi" w:hAnsiTheme="majorHAnsi" w:cstheme="majorHAnsi"/>
                <w:sz w:val="22"/>
                <w:szCs w:val="22"/>
              </w:rPr>
              <w:t>.</w:t>
            </w:r>
          </w:p>
        </w:tc>
      </w:tr>
      <w:tr w:rsidR="009B7A31" w:rsidRPr="00912E9B" w14:paraId="4506763D" w14:textId="77777777" w:rsidTr="00D40051">
        <w:trPr>
          <w:cantSplit/>
        </w:trPr>
        <w:tc>
          <w:tcPr>
            <w:tcW w:w="2298" w:type="dxa"/>
            <w:shd w:val="clear" w:color="auto" w:fill="auto"/>
            <w:vAlign w:val="center"/>
          </w:tcPr>
          <w:p w14:paraId="50F870D9" w14:textId="5888007D" w:rsidR="00164AC7" w:rsidRPr="00912E9B" w:rsidRDefault="00164AC7" w:rsidP="00164AC7">
            <w:pPr>
              <w:pStyle w:val="CERGlossaryTerm"/>
              <w:rPr>
                <w:rFonts w:asciiTheme="majorHAnsi" w:hAnsiTheme="majorHAnsi" w:cstheme="majorHAnsi"/>
                <w:sz w:val="22"/>
                <w:szCs w:val="22"/>
              </w:rPr>
            </w:pPr>
            <w:r w:rsidRPr="00912E9B">
              <w:rPr>
                <w:rFonts w:asciiTheme="minorHAnsi" w:hAnsiTheme="minorHAnsi" w:cstheme="minorHAnsi"/>
                <w:sz w:val="22"/>
                <w:szCs w:val="22"/>
              </w:rPr>
              <w:t>Clearing Day</w:t>
            </w:r>
          </w:p>
        </w:tc>
        <w:tc>
          <w:tcPr>
            <w:tcW w:w="7088" w:type="dxa"/>
            <w:shd w:val="clear" w:color="auto" w:fill="auto"/>
            <w:vAlign w:val="center"/>
          </w:tcPr>
          <w:p w14:paraId="660E1347" w14:textId="410B6D9D" w:rsidR="00164AC7" w:rsidRPr="00912E9B" w:rsidRDefault="00164AC7"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a calendar day on which Clearing procedures are carried out and the obligations and claims of Clearing Members are calculated </w:t>
            </w:r>
            <w:proofErr w:type="gramStart"/>
            <w:r w:rsidRPr="00912E9B">
              <w:rPr>
                <w:rFonts w:asciiTheme="minorHAnsi" w:hAnsiTheme="minorHAnsi" w:cstheme="minorHAnsi"/>
                <w:sz w:val="22"/>
                <w:szCs w:val="22"/>
              </w:rPr>
              <w:t>on the basis of</w:t>
            </w:r>
            <w:proofErr w:type="gramEnd"/>
            <w:r w:rsidRPr="00912E9B">
              <w:rPr>
                <w:rFonts w:asciiTheme="minorHAnsi" w:hAnsiTheme="minorHAnsi" w:cstheme="minorHAnsi"/>
                <w:sz w:val="22"/>
                <w:szCs w:val="22"/>
              </w:rPr>
              <w:t xml:space="preserve"> the transactions that have been concluded in the Electricity Markets and registered in the Clearing System. Clearing Days are the Working Days in accordance with the clearing day calendar drawn up and announced by ALPEX</w:t>
            </w:r>
          </w:p>
        </w:tc>
      </w:tr>
      <w:tr w:rsidR="009B7A31" w:rsidRPr="00912E9B" w14:paraId="144EF9E6" w14:textId="77777777" w:rsidTr="00D40051">
        <w:trPr>
          <w:cantSplit/>
        </w:trPr>
        <w:tc>
          <w:tcPr>
            <w:tcW w:w="2298" w:type="dxa"/>
            <w:shd w:val="clear" w:color="auto" w:fill="auto"/>
            <w:vAlign w:val="center"/>
          </w:tcPr>
          <w:p w14:paraId="776EF80B" w14:textId="77777777"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Clearing Member</w:t>
            </w:r>
          </w:p>
        </w:tc>
        <w:tc>
          <w:tcPr>
            <w:tcW w:w="7088" w:type="dxa"/>
            <w:shd w:val="clear" w:color="auto" w:fill="auto"/>
            <w:vAlign w:val="center"/>
          </w:tcPr>
          <w:p w14:paraId="7C98FDD6" w14:textId="591B1621"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an undertaking that participates in the EMCS for the clearing and settlement of transactions in the Electricity Markets of ALPEX and is responsible </w:t>
            </w:r>
            <w:r w:rsidR="00FA7252" w:rsidRPr="00912E9B">
              <w:rPr>
                <w:rFonts w:asciiTheme="majorHAnsi" w:hAnsiTheme="majorHAnsi" w:cstheme="majorHAnsi"/>
                <w:sz w:val="22"/>
                <w:szCs w:val="22"/>
              </w:rPr>
              <w:t>toward ALPEX</w:t>
            </w:r>
            <w:r w:rsidRPr="00912E9B">
              <w:rPr>
                <w:rFonts w:asciiTheme="majorHAnsi" w:hAnsiTheme="majorHAnsi" w:cstheme="majorHAnsi"/>
                <w:sz w:val="22"/>
                <w:szCs w:val="22"/>
              </w:rPr>
              <w:t xml:space="preserve"> for the fulfilment of cash obligations arising from this participation in accordance with the terms and the specific provisions of ALPEX Rules</w:t>
            </w:r>
            <w:r w:rsidR="00B32511" w:rsidRPr="00912E9B">
              <w:rPr>
                <w:rFonts w:asciiTheme="majorHAnsi" w:hAnsiTheme="majorHAnsi" w:cstheme="majorHAnsi"/>
                <w:sz w:val="22"/>
                <w:szCs w:val="22"/>
              </w:rPr>
              <w:t xml:space="preserve"> and the Procedures.</w:t>
            </w:r>
          </w:p>
        </w:tc>
      </w:tr>
      <w:tr w:rsidR="009B7A31" w:rsidRPr="00912E9B" w14:paraId="745DC60C" w14:textId="77777777" w:rsidTr="00D40051">
        <w:trPr>
          <w:cantSplit/>
        </w:trPr>
        <w:tc>
          <w:tcPr>
            <w:tcW w:w="2298" w:type="dxa"/>
            <w:shd w:val="clear" w:color="auto" w:fill="auto"/>
            <w:vAlign w:val="center"/>
          </w:tcPr>
          <w:p w14:paraId="164D866B" w14:textId="18C68F19" w:rsidR="00164AC7" w:rsidRPr="00912E9B" w:rsidRDefault="00164AC7" w:rsidP="00164AC7">
            <w:pPr>
              <w:pStyle w:val="CERGlossaryTerm"/>
              <w:rPr>
                <w:rFonts w:asciiTheme="majorHAnsi" w:hAnsiTheme="majorHAnsi" w:cstheme="majorHAnsi"/>
                <w:sz w:val="22"/>
                <w:szCs w:val="22"/>
              </w:rPr>
            </w:pPr>
            <w:r w:rsidRPr="00912E9B">
              <w:rPr>
                <w:rFonts w:asciiTheme="minorHAnsi" w:hAnsiTheme="minorHAnsi" w:cstheme="minorHAnsi"/>
                <w:sz w:val="22"/>
                <w:szCs w:val="22"/>
              </w:rPr>
              <w:t>Clearing Price</w:t>
            </w:r>
          </w:p>
        </w:tc>
        <w:tc>
          <w:tcPr>
            <w:tcW w:w="7088" w:type="dxa"/>
            <w:shd w:val="clear" w:color="auto" w:fill="auto"/>
            <w:vAlign w:val="center"/>
          </w:tcPr>
          <w:p w14:paraId="372A7F2E" w14:textId="6FB13CB8"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The price determined by matching the highest </w:t>
            </w:r>
            <w:r w:rsidR="004965DC" w:rsidRPr="00912E9B">
              <w:rPr>
                <w:rFonts w:asciiTheme="majorHAnsi" w:hAnsiTheme="majorHAnsi" w:cstheme="majorHAnsi"/>
                <w:sz w:val="22"/>
                <w:szCs w:val="22"/>
              </w:rPr>
              <w:t xml:space="preserve">price </w:t>
            </w:r>
            <w:r w:rsidRPr="00912E9B">
              <w:rPr>
                <w:rFonts w:asciiTheme="majorHAnsi" w:hAnsiTheme="majorHAnsi" w:cstheme="majorHAnsi"/>
                <w:sz w:val="22"/>
                <w:szCs w:val="22"/>
              </w:rPr>
              <w:t xml:space="preserve">accepted selling Order and the lowest </w:t>
            </w:r>
            <w:r w:rsidR="004965DC" w:rsidRPr="00912E9B">
              <w:rPr>
                <w:rFonts w:asciiTheme="majorHAnsi" w:hAnsiTheme="majorHAnsi" w:cstheme="majorHAnsi"/>
                <w:sz w:val="22"/>
                <w:szCs w:val="22"/>
              </w:rPr>
              <w:t xml:space="preserve">price </w:t>
            </w:r>
            <w:r w:rsidRPr="00912E9B">
              <w:rPr>
                <w:rFonts w:asciiTheme="majorHAnsi" w:hAnsiTheme="majorHAnsi" w:cstheme="majorHAnsi"/>
                <w:sz w:val="22"/>
                <w:szCs w:val="22"/>
              </w:rPr>
              <w:t xml:space="preserve">accepted </w:t>
            </w:r>
            <w:r w:rsidR="004965DC" w:rsidRPr="00912E9B">
              <w:rPr>
                <w:rFonts w:asciiTheme="majorHAnsi" w:hAnsiTheme="majorHAnsi" w:cstheme="majorHAnsi"/>
                <w:sz w:val="22"/>
                <w:szCs w:val="22"/>
              </w:rPr>
              <w:t>purchas</w:t>
            </w:r>
            <w:r w:rsidRPr="00912E9B">
              <w:rPr>
                <w:rFonts w:asciiTheme="majorHAnsi" w:hAnsiTheme="majorHAnsi" w:cstheme="majorHAnsi"/>
                <w:sz w:val="22"/>
                <w:szCs w:val="22"/>
              </w:rPr>
              <w:t xml:space="preserve">ing </w:t>
            </w:r>
            <w:r w:rsidR="004965DC" w:rsidRPr="00912E9B">
              <w:rPr>
                <w:rFonts w:asciiTheme="majorHAnsi" w:hAnsiTheme="majorHAnsi" w:cstheme="majorHAnsi"/>
                <w:sz w:val="22"/>
                <w:szCs w:val="22"/>
              </w:rPr>
              <w:t>O</w:t>
            </w:r>
            <w:r w:rsidRPr="00912E9B">
              <w:rPr>
                <w:rFonts w:asciiTheme="majorHAnsi" w:hAnsiTheme="majorHAnsi" w:cstheme="majorHAnsi"/>
                <w:sz w:val="22"/>
                <w:szCs w:val="22"/>
              </w:rPr>
              <w:t>rder in the electricity market.</w:t>
            </w:r>
          </w:p>
        </w:tc>
      </w:tr>
      <w:tr w:rsidR="009B7A31" w:rsidRPr="00912E9B" w14:paraId="11FF89E4" w14:textId="77777777" w:rsidTr="00D40051">
        <w:trPr>
          <w:cantSplit/>
        </w:trPr>
        <w:tc>
          <w:tcPr>
            <w:tcW w:w="2298" w:type="dxa"/>
            <w:shd w:val="clear" w:color="auto" w:fill="auto"/>
          </w:tcPr>
          <w:p w14:paraId="620902CD" w14:textId="6E7A0329" w:rsidR="00164AC7" w:rsidRPr="00912E9B" w:rsidRDefault="00164AC7" w:rsidP="00164AC7">
            <w:pPr>
              <w:pStyle w:val="CERGlossaryTerm"/>
              <w:rPr>
                <w:rFonts w:asciiTheme="minorHAnsi" w:hAnsiTheme="minorHAnsi" w:cstheme="minorHAnsi"/>
                <w:sz w:val="22"/>
                <w:szCs w:val="22"/>
              </w:rPr>
            </w:pPr>
            <w:r w:rsidRPr="00912E9B">
              <w:rPr>
                <w:rFonts w:asciiTheme="minorHAnsi" w:hAnsiTheme="minorHAnsi" w:cstheme="minorHAnsi"/>
                <w:sz w:val="22"/>
                <w:szCs w:val="22"/>
              </w:rPr>
              <w:t xml:space="preserve">Collateral </w:t>
            </w:r>
          </w:p>
        </w:tc>
        <w:tc>
          <w:tcPr>
            <w:tcW w:w="7088" w:type="dxa"/>
            <w:shd w:val="clear" w:color="auto" w:fill="auto"/>
            <w:vAlign w:val="center"/>
          </w:tcPr>
          <w:p w14:paraId="0EBD5F59" w14:textId="720F6577" w:rsidR="00164AC7" w:rsidRPr="00912E9B" w:rsidRDefault="00164AC7" w:rsidP="00D40051">
            <w:pPr>
              <w:pStyle w:val="CERGlossaryDefinition"/>
              <w:rPr>
                <w:rFonts w:asciiTheme="majorHAnsi" w:hAnsiTheme="majorHAnsi" w:cstheme="majorHAnsi"/>
                <w:bCs/>
                <w:sz w:val="22"/>
                <w:szCs w:val="22"/>
              </w:rPr>
            </w:pPr>
            <w:r w:rsidRPr="00912E9B">
              <w:rPr>
                <w:rFonts w:asciiTheme="minorHAnsi" w:hAnsiTheme="minorHAnsi" w:cstheme="minorHAnsi"/>
                <w:bCs/>
                <w:sz w:val="22"/>
                <w:szCs w:val="22"/>
              </w:rPr>
              <w:t>means the process set out in section G.3.</w:t>
            </w:r>
            <w:r w:rsidR="00D2281D" w:rsidRPr="00912E9B">
              <w:rPr>
                <w:rFonts w:asciiTheme="minorHAnsi" w:hAnsiTheme="minorHAnsi" w:cstheme="minorHAnsi"/>
                <w:bCs/>
                <w:sz w:val="22"/>
                <w:szCs w:val="22"/>
              </w:rPr>
              <w:t xml:space="preserve"> of Clearing and Settlement Procedures</w:t>
            </w:r>
          </w:p>
        </w:tc>
      </w:tr>
      <w:tr w:rsidR="00164AC7" w:rsidRPr="00912E9B" w14:paraId="189956BC" w14:textId="77777777" w:rsidTr="00D40051">
        <w:trPr>
          <w:cantSplit/>
        </w:trPr>
        <w:tc>
          <w:tcPr>
            <w:tcW w:w="2298" w:type="dxa"/>
            <w:shd w:val="clear" w:color="auto" w:fill="auto"/>
            <w:vAlign w:val="center"/>
          </w:tcPr>
          <w:p w14:paraId="09E3E7C4" w14:textId="52C393AA" w:rsidR="00164AC7" w:rsidRPr="00912E9B" w:rsidRDefault="00164AC7" w:rsidP="00164AC7">
            <w:pPr>
              <w:pStyle w:val="CERGlossaryTerm"/>
              <w:rPr>
                <w:rFonts w:asciiTheme="minorHAnsi" w:hAnsiTheme="minorHAnsi" w:cstheme="minorHAnsi"/>
                <w:sz w:val="22"/>
                <w:szCs w:val="22"/>
              </w:rPr>
            </w:pPr>
            <w:r w:rsidRPr="00912E9B">
              <w:rPr>
                <w:rFonts w:asciiTheme="minorHAnsi" w:hAnsiTheme="minorHAnsi" w:cstheme="minorHAnsi"/>
                <w:sz w:val="22"/>
                <w:szCs w:val="22"/>
              </w:rPr>
              <w:t>Collateral Call</w:t>
            </w:r>
          </w:p>
        </w:tc>
        <w:tc>
          <w:tcPr>
            <w:tcW w:w="7088" w:type="dxa"/>
            <w:shd w:val="clear" w:color="auto" w:fill="auto"/>
            <w:vAlign w:val="center"/>
          </w:tcPr>
          <w:p w14:paraId="073F0B18" w14:textId="49DCA47E" w:rsidR="00164AC7" w:rsidRPr="00912E9B" w:rsidRDefault="00164AC7"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means the call by the ALPEX on a Clearing Member’s L</w:t>
            </w:r>
            <w:r w:rsidR="00D2281D" w:rsidRPr="00912E9B">
              <w:rPr>
                <w:rFonts w:asciiTheme="minorHAnsi" w:hAnsiTheme="minorHAnsi" w:cstheme="minorHAnsi"/>
                <w:sz w:val="22"/>
                <w:szCs w:val="22"/>
              </w:rPr>
              <w:t xml:space="preserve">etter </w:t>
            </w:r>
            <w:r w:rsidRPr="00912E9B">
              <w:rPr>
                <w:rFonts w:asciiTheme="minorHAnsi" w:hAnsiTheme="minorHAnsi" w:cstheme="minorHAnsi"/>
                <w:sz w:val="22"/>
                <w:szCs w:val="22"/>
              </w:rPr>
              <w:t>o</w:t>
            </w:r>
            <w:r w:rsidR="00D2281D" w:rsidRPr="00912E9B">
              <w:rPr>
                <w:rFonts w:asciiTheme="minorHAnsi" w:hAnsiTheme="minorHAnsi" w:cstheme="minorHAnsi"/>
                <w:sz w:val="22"/>
                <w:szCs w:val="22"/>
              </w:rPr>
              <w:t xml:space="preserve">f </w:t>
            </w:r>
            <w:r w:rsidRPr="00912E9B">
              <w:rPr>
                <w:rFonts w:asciiTheme="minorHAnsi" w:hAnsiTheme="minorHAnsi" w:cstheme="minorHAnsi"/>
                <w:sz w:val="22"/>
                <w:szCs w:val="22"/>
              </w:rPr>
              <w:t>G</w:t>
            </w:r>
            <w:r w:rsidR="00D2281D" w:rsidRPr="00912E9B">
              <w:rPr>
                <w:rFonts w:asciiTheme="minorHAnsi" w:hAnsiTheme="minorHAnsi" w:cstheme="minorHAnsi"/>
                <w:sz w:val="22"/>
                <w:szCs w:val="22"/>
              </w:rPr>
              <w:t>uarantee</w:t>
            </w:r>
            <w:r w:rsidRPr="00912E9B">
              <w:rPr>
                <w:rFonts w:asciiTheme="minorHAnsi" w:hAnsiTheme="minorHAnsi" w:cstheme="minorHAnsi"/>
                <w:sz w:val="22"/>
                <w:szCs w:val="22"/>
              </w:rPr>
              <w:t xml:space="preserve"> Provider to draw down all or part of a Clearing Member’s Credit Limit.</w:t>
            </w:r>
          </w:p>
        </w:tc>
      </w:tr>
      <w:tr w:rsidR="009B7A31" w:rsidRPr="00912E9B" w14:paraId="29712E58" w14:textId="77777777" w:rsidTr="00D40051">
        <w:trPr>
          <w:cantSplit/>
        </w:trPr>
        <w:tc>
          <w:tcPr>
            <w:tcW w:w="2298" w:type="dxa"/>
            <w:shd w:val="clear" w:color="auto" w:fill="auto"/>
            <w:vAlign w:val="center"/>
          </w:tcPr>
          <w:p w14:paraId="0D20B33C" w14:textId="301A5735" w:rsidR="00164AC7" w:rsidRPr="00912E9B" w:rsidRDefault="00164AC7" w:rsidP="00164AC7">
            <w:pPr>
              <w:pStyle w:val="CERGlossaryTerm"/>
              <w:rPr>
                <w:rFonts w:asciiTheme="majorHAnsi" w:hAnsiTheme="majorHAnsi" w:cstheme="majorHAnsi"/>
                <w:sz w:val="22"/>
                <w:szCs w:val="22"/>
              </w:rPr>
            </w:pPr>
            <w:r w:rsidRPr="00912E9B">
              <w:rPr>
                <w:rFonts w:asciiTheme="minorHAnsi" w:hAnsiTheme="minorHAnsi" w:cstheme="minorHAnsi"/>
                <w:sz w:val="22"/>
                <w:szCs w:val="22"/>
              </w:rPr>
              <w:t>Commencement Date</w:t>
            </w:r>
          </w:p>
        </w:tc>
        <w:tc>
          <w:tcPr>
            <w:tcW w:w="7088" w:type="dxa"/>
            <w:shd w:val="clear" w:color="auto" w:fill="auto"/>
            <w:vAlign w:val="center"/>
          </w:tcPr>
          <w:p w14:paraId="3A88B414" w14:textId="7D904F63" w:rsidR="00164AC7" w:rsidRPr="00912E9B" w:rsidRDefault="00164AC7"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means the commencement date of the Clearing and Settlement Procedures as determined by the Regulatory Authorities.</w:t>
            </w:r>
          </w:p>
        </w:tc>
      </w:tr>
      <w:tr w:rsidR="009B7A31" w:rsidRPr="00912E9B" w14:paraId="7FEC4421" w14:textId="77777777" w:rsidTr="00D40051">
        <w:trPr>
          <w:cantSplit/>
        </w:trPr>
        <w:tc>
          <w:tcPr>
            <w:tcW w:w="2298" w:type="dxa"/>
            <w:shd w:val="clear" w:color="auto" w:fill="auto"/>
            <w:vAlign w:val="center"/>
          </w:tcPr>
          <w:p w14:paraId="7F14BC7C" w14:textId="103254B6"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Competent Authority</w:t>
            </w:r>
          </w:p>
        </w:tc>
        <w:tc>
          <w:tcPr>
            <w:tcW w:w="7088" w:type="dxa"/>
            <w:shd w:val="clear" w:color="auto" w:fill="auto"/>
            <w:vAlign w:val="center"/>
          </w:tcPr>
          <w:p w14:paraId="598FE25F" w14:textId="0AD1768E"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the Albania/Kosovo Government, Energy Regulator Authority of Albania, Energy Regulatory Office of Kosovo, the Competition Authority of Albania, the Kosovo Competition Authority, Courts in Albania or Kosovo, Minister, Department, Commission, Entity and any international or supranational body, with power and competence to make binding decisions, awards, rulings, </w:t>
            </w:r>
            <w:proofErr w:type="gramStart"/>
            <w:r w:rsidRPr="00912E9B">
              <w:rPr>
                <w:rFonts w:asciiTheme="majorHAnsi" w:hAnsiTheme="majorHAnsi" w:cstheme="majorHAnsi"/>
                <w:sz w:val="22"/>
                <w:szCs w:val="22"/>
              </w:rPr>
              <w:t>judgments</w:t>
            </w:r>
            <w:proofErr w:type="gramEnd"/>
            <w:r w:rsidRPr="00912E9B">
              <w:rPr>
                <w:rFonts w:asciiTheme="majorHAnsi" w:hAnsiTheme="majorHAnsi" w:cstheme="majorHAnsi"/>
                <w:sz w:val="22"/>
                <w:szCs w:val="22"/>
              </w:rPr>
              <w:t xml:space="preserve"> or decisions.</w:t>
            </w:r>
          </w:p>
        </w:tc>
      </w:tr>
      <w:tr w:rsidR="009B7A31" w:rsidRPr="00912E9B" w14:paraId="1BBBFF8D" w14:textId="77777777" w:rsidTr="00D40051">
        <w:trPr>
          <w:cantSplit/>
        </w:trPr>
        <w:tc>
          <w:tcPr>
            <w:tcW w:w="2298" w:type="dxa"/>
            <w:shd w:val="clear" w:color="auto" w:fill="auto"/>
            <w:vAlign w:val="center"/>
          </w:tcPr>
          <w:p w14:paraId="5CF63157" w14:textId="04C20B7B"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Complementary Regional Intra</w:t>
            </w:r>
            <w:r w:rsidR="00F36A5E" w:rsidRPr="00912E9B">
              <w:rPr>
                <w:rFonts w:ascii="Cambria Math" w:hAnsi="Cambria Math" w:cs="Cambria Math"/>
                <w:sz w:val="22"/>
                <w:szCs w:val="22"/>
              </w:rPr>
              <w:t>d</w:t>
            </w:r>
            <w:r w:rsidRPr="00912E9B">
              <w:rPr>
                <w:rFonts w:asciiTheme="majorHAnsi" w:hAnsiTheme="majorHAnsi" w:cstheme="majorHAnsi"/>
                <w:sz w:val="22"/>
                <w:szCs w:val="22"/>
              </w:rPr>
              <w:t>ay Auctions (CRIDA)</w:t>
            </w:r>
          </w:p>
        </w:tc>
        <w:tc>
          <w:tcPr>
            <w:tcW w:w="7088" w:type="dxa"/>
            <w:shd w:val="clear" w:color="auto" w:fill="auto"/>
            <w:vAlign w:val="center"/>
          </w:tcPr>
          <w:p w14:paraId="6BCFBE14" w14:textId="1AA9B5AF" w:rsidR="00164AC7" w:rsidRPr="00912E9B" w:rsidRDefault="00164AC7"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Intra</w:t>
            </w:r>
            <w:r w:rsidR="00FA38B6" w:rsidRPr="00912E9B">
              <w:rPr>
                <w:rFonts w:asciiTheme="majorHAnsi" w:hAnsiTheme="majorHAnsi" w:cstheme="majorHAnsi"/>
                <w:sz w:val="22"/>
                <w:szCs w:val="22"/>
              </w:rPr>
              <w:t>d</w:t>
            </w:r>
            <w:r w:rsidRPr="00912E9B">
              <w:rPr>
                <w:rFonts w:asciiTheme="majorHAnsi" w:hAnsiTheme="majorHAnsi" w:cstheme="majorHAnsi"/>
                <w:sz w:val="22"/>
                <w:szCs w:val="22"/>
              </w:rPr>
              <w:t>ay Auctions that take place in an area, which consists of multiple Bidding Zones, complementary to the Continuous Intra</w:t>
            </w:r>
            <w:r w:rsidR="004965DC" w:rsidRPr="00912E9B">
              <w:rPr>
                <w:rFonts w:asciiTheme="majorHAnsi" w:hAnsiTheme="majorHAnsi" w:cstheme="majorHAnsi"/>
                <w:sz w:val="22"/>
                <w:szCs w:val="22"/>
              </w:rPr>
              <w:t>d</w:t>
            </w:r>
            <w:r w:rsidRPr="00912E9B">
              <w:rPr>
                <w:rFonts w:asciiTheme="majorHAnsi" w:hAnsiTheme="majorHAnsi" w:cstheme="majorHAnsi"/>
                <w:sz w:val="22"/>
                <w:szCs w:val="22"/>
              </w:rPr>
              <w:t>ay Trading.</w:t>
            </w:r>
          </w:p>
        </w:tc>
      </w:tr>
      <w:tr w:rsidR="009B7A31" w:rsidRPr="00912E9B" w14:paraId="24A0F522" w14:textId="77777777" w:rsidTr="00D40051">
        <w:trPr>
          <w:cantSplit/>
        </w:trPr>
        <w:tc>
          <w:tcPr>
            <w:tcW w:w="2298" w:type="dxa"/>
            <w:shd w:val="clear" w:color="auto" w:fill="auto"/>
            <w:vAlign w:val="center"/>
          </w:tcPr>
          <w:p w14:paraId="7B0BD20C" w14:textId="4076782B" w:rsidR="00164AC7" w:rsidRPr="00912E9B" w:rsidRDefault="00164AC7" w:rsidP="00164AC7">
            <w:pPr>
              <w:pStyle w:val="CERGlossaryTerm"/>
              <w:rPr>
                <w:rFonts w:asciiTheme="majorHAnsi" w:hAnsiTheme="majorHAnsi" w:cstheme="majorHAnsi"/>
                <w:sz w:val="22"/>
                <w:szCs w:val="22"/>
              </w:rPr>
            </w:pPr>
            <w:r w:rsidRPr="00912E9B">
              <w:rPr>
                <w:rFonts w:asciiTheme="minorHAnsi" w:hAnsiTheme="minorHAnsi" w:cstheme="minorHAnsi"/>
                <w:sz w:val="22"/>
                <w:szCs w:val="22"/>
              </w:rPr>
              <w:t xml:space="preserve">Condition </w:t>
            </w:r>
          </w:p>
        </w:tc>
        <w:tc>
          <w:tcPr>
            <w:tcW w:w="7088" w:type="dxa"/>
            <w:shd w:val="clear" w:color="auto" w:fill="auto"/>
            <w:vAlign w:val="center"/>
          </w:tcPr>
          <w:p w14:paraId="0F860CAD" w14:textId="2069CB33" w:rsidR="00164AC7" w:rsidRPr="00912E9B" w:rsidRDefault="00164AC7" w:rsidP="00D40051">
            <w:pPr>
              <w:pStyle w:val="CERLEVEL4"/>
              <w:keepNext w:val="0"/>
              <w:numPr>
                <w:ilvl w:val="0"/>
                <w:numId w:val="0"/>
              </w:numPr>
              <w:ind w:left="67"/>
              <w:rPr>
                <w:rFonts w:asciiTheme="majorHAnsi" w:hAnsiTheme="majorHAnsi" w:cstheme="majorHAnsi"/>
              </w:rPr>
            </w:pPr>
            <w:r w:rsidRPr="00912E9B">
              <w:rPr>
                <w:rFonts w:asciiTheme="majorHAnsi" w:hAnsiTheme="majorHAnsi" w:cstheme="majorHAnsi"/>
              </w:rPr>
              <w:t>A condition which an Order can be made subject to, as described in the Trading Procedures.</w:t>
            </w:r>
          </w:p>
        </w:tc>
      </w:tr>
      <w:tr w:rsidR="009B7A31" w:rsidRPr="00912E9B" w14:paraId="6296B88C" w14:textId="77777777" w:rsidTr="00D40051">
        <w:trPr>
          <w:cantSplit/>
        </w:trPr>
        <w:tc>
          <w:tcPr>
            <w:tcW w:w="2298" w:type="dxa"/>
            <w:shd w:val="clear" w:color="auto" w:fill="auto"/>
            <w:vAlign w:val="center"/>
          </w:tcPr>
          <w:p w14:paraId="7246EB5E" w14:textId="77777777"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Confidential Information</w:t>
            </w:r>
          </w:p>
        </w:tc>
        <w:tc>
          <w:tcPr>
            <w:tcW w:w="7088" w:type="dxa"/>
            <w:shd w:val="clear" w:color="auto" w:fill="auto"/>
            <w:vAlign w:val="center"/>
          </w:tcPr>
          <w:p w14:paraId="4009F951" w14:textId="4081A4F0" w:rsidR="00164AC7" w:rsidRPr="00912E9B" w:rsidRDefault="00164AC7" w:rsidP="00D40051">
            <w:pPr>
              <w:pStyle w:val="CERLEVEL4"/>
              <w:keepNext w:val="0"/>
              <w:numPr>
                <w:ilvl w:val="0"/>
                <w:numId w:val="0"/>
              </w:numPr>
              <w:ind w:left="67"/>
              <w:rPr>
                <w:rFonts w:asciiTheme="majorHAnsi" w:hAnsiTheme="majorHAnsi" w:cstheme="majorHAnsi"/>
              </w:rPr>
            </w:pPr>
            <w:r w:rsidRPr="00912E9B">
              <w:rPr>
                <w:rFonts w:asciiTheme="majorHAnsi" w:hAnsiTheme="majorHAnsi" w:cstheme="majorHAnsi"/>
              </w:rPr>
              <w:t>means in relation to any Party, information which is designated in writing by that Party as confidential, or which would be considered as being confidential by its nature, and which is disclosed in connection with ALPEX Rules, the Procedures and the Exchange Membership Agreement</w:t>
            </w:r>
            <w:r w:rsidR="005E7488" w:rsidRPr="00912E9B">
              <w:rPr>
                <w:rFonts w:asciiTheme="majorHAnsi" w:hAnsiTheme="majorHAnsi" w:cstheme="majorHAnsi"/>
              </w:rPr>
              <w:t xml:space="preserve">, Framework </w:t>
            </w:r>
            <w:proofErr w:type="gramStart"/>
            <w:r w:rsidR="00491D0A" w:rsidRPr="00912E9B">
              <w:rPr>
                <w:rFonts w:asciiTheme="majorHAnsi" w:hAnsiTheme="majorHAnsi" w:cstheme="majorHAnsi"/>
              </w:rPr>
              <w:t>Agreement</w:t>
            </w:r>
            <w:proofErr w:type="gramEnd"/>
            <w:r w:rsidR="00491D0A" w:rsidRPr="00912E9B">
              <w:rPr>
                <w:rFonts w:asciiTheme="majorHAnsi" w:hAnsiTheme="majorHAnsi" w:cstheme="majorHAnsi"/>
              </w:rPr>
              <w:t xml:space="preserve"> or</w:t>
            </w:r>
            <w:r w:rsidRPr="00912E9B">
              <w:rPr>
                <w:rFonts w:asciiTheme="majorHAnsi" w:hAnsiTheme="majorHAnsi" w:cstheme="majorHAnsi"/>
              </w:rPr>
              <w:t xml:space="preserve"> the Disclosing Party’s activities in connection with ALPEX Rules. Confidential Information shall not include: </w:t>
            </w:r>
          </w:p>
          <w:p w14:paraId="59AE5C16" w14:textId="4FA60DAB" w:rsidR="00164AC7" w:rsidRPr="00912E9B" w:rsidRDefault="00164AC7" w:rsidP="00D40051">
            <w:pPr>
              <w:pStyle w:val="CERLEVEL5"/>
              <w:ind w:left="492"/>
              <w:rPr>
                <w:rFonts w:asciiTheme="majorHAnsi" w:hAnsiTheme="majorHAnsi" w:cstheme="majorHAnsi"/>
                <w:lang w:val="en-US"/>
              </w:rPr>
            </w:pPr>
            <w:r w:rsidRPr="00912E9B">
              <w:rPr>
                <w:rFonts w:asciiTheme="majorHAnsi" w:hAnsiTheme="majorHAnsi" w:cstheme="majorHAnsi"/>
                <w:lang w:val="en-US"/>
              </w:rPr>
              <w:t>the existence of and terms of ALPEX Rules, the Procedures or the Exchange Membership Agreement</w:t>
            </w:r>
            <w:r w:rsidR="00CE0841" w:rsidRPr="00912E9B">
              <w:rPr>
                <w:rFonts w:asciiTheme="majorHAnsi" w:hAnsiTheme="majorHAnsi" w:cstheme="majorHAnsi"/>
                <w:lang w:val="en-US"/>
              </w:rPr>
              <w:t xml:space="preserve"> or </w:t>
            </w:r>
            <w:r w:rsidR="00CE0841" w:rsidRPr="00912E9B">
              <w:rPr>
                <w:rFonts w:asciiTheme="majorHAnsi" w:hAnsiTheme="majorHAnsi" w:cstheme="majorHAnsi"/>
              </w:rPr>
              <w:t>Agreement Framework</w:t>
            </w:r>
            <w:r w:rsidRPr="00912E9B">
              <w:rPr>
                <w:rFonts w:asciiTheme="majorHAnsi" w:hAnsiTheme="majorHAnsi" w:cstheme="majorHAnsi"/>
                <w:lang w:val="en-US"/>
              </w:rPr>
              <w:t>; and</w:t>
            </w:r>
          </w:p>
          <w:p w14:paraId="25C07008" w14:textId="1FC3B636" w:rsidR="00164AC7" w:rsidRPr="00912E9B" w:rsidRDefault="00164AC7" w:rsidP="00D40051">
            <w:pPr>
              <w:pStyle w:val="CERLEVEL5"/>
              <w:ind w:left="492"/>
              <w:rPr>
                <w:rFonts w:asciiTheme="majorHAnsi" w:hAnsiTheme="majorHAnsi" w:cstheme="majorHAnsi"/>
              </w:rPr>
            </w:pPr>
            <w:r w:rsidRPr="00912E9B">
              <w:rPr>
                <w:rFonts w:asciiTheme="majorHAnsi" w:hAnsiTheme="majorHAnsi" w:cstheme="majorHAnsi"/>
                <w:lang w:val="en-US"/>
              </w:rPr>
              <w:t>Data records or information which is at the relevant time required to be published in accordance with ALPEX Rules or the Procedures</w:t>
            </w:r>
            <w:r w:rsidR="00D5518E" w:rsidRPr="00912E9B">
              <w:rPr>
                <w:rFonts w:asciiTheme="majorHAnsi" w:hAnsiTheme="majorHAnsi" w:cstheme="majorHAnsi"/>
                <w:lang w:val="en-US"/>
              </w:rPr>
              <w:t xml:space="preserve"> and Exchange Membership Agreement or </w:t>
            </w:r>
            <w:r w:rsidR="00D5518E" w:rsidRPr="00912E9B">
              <w:rPr>
                <w:rFonts w:asciiTheme="majorHAnsi" w:hAnsiTheme="majorHAnsi" w:cstheme="majorHAnsi"/>
              </w:rPr>
              <w:t>Agreement Framework</w:t>
            </w:r>
            <w:r w:rsidRPr="00912E9B">
              <w:rPr>
                <w:rFonts w:asciiTheme="majorHAnsi" w:hAnsiTheme="majorHAnsi" w:cstheme="majorHAnsi"/>
                <w:lang w:val="en-US"/>
              </w:rPr>
              <w:t xml:space="preserve">. </w:t>
            </w:r>
          </w:p>
        </w:tc>
      </w:tr>
      <w:tr w:rsidR="009B7A31" w:rsidRPr="00912E9B" w14:paraId="534F97FA" w14:textId="77777777" w:rsidTr="00D40051">
        <w:trPr>
          <w:cantSplit/>
        </w:trPr>
        <w:tc>
          <w:tcPr>
            <w:tcW w:w="2298" w:type="dxa"/>
            <w:shd w:val="clear" w:color="auto" w:fill="auto"/>
            <w:vAlign w:val="center"/>
          </w:tcPr>
          <w:p w14:paraId="4B32C44D" w14:textId="77777777" w:rsidR="00164AC7" w:rsidRPr="00912E9B" w:rsidRDefault="00164AC7" w:rsidP="00164AC7">
            <w:pPr>
              <w:pStyle w:val="CERGlossaryTerm"/>
              <w:rPr>
                <w:rFonts w:asciiTheme="majorHAnsi" w:hAnsiTheme="majorHAnsi" w:cstheme="majorHAnsi"/>
                <w:sz w:val="22"/>
                <w:szCs w:val="22"/>
              </w:rPr>
            </w:pPr>
            <w:r w:rsidRPr="00912E9B">
              <w:rPr>
                <w:rFonts w:asciiTheme="majorHAnsi" w:hAnsiTheme="majorHAnsi" w:cstheme="majorHAnsi"/>
                <w:sz w:val="22"/>
                <w:szCs w:val="22"/>
              </w:rPr>
              <w:t>Conflict Dispute</w:t>
            </w:r>
          </w:p>
        </w:tc>
        <w:tc>
          <w:tcPr>
            <w:tcW w:w="7088" w:type="dxa"/>
            <w:shd w:val="clear" w:color="auto" w:fill="auto"/>
            <w:vAlign w:val="center"/>
          </w:tcPr>
          <w:p w14:paraId="75A197F5" w14:textId="284693DA" w:rsidR="00164AC7" w:rsidRPr="00912E9B" w:rsidRDefault="00164AC7" w:rsidP="00D40051">
            <w:pPr>
              <w:pStyle w:val="CERGlossaryDefinition"/>
              <w:rPr>
                <w:rFonts w:asciiTheme="majorHAnsi" w:hAnsiTheme="majorHAnsi" w:cstheme="majorHAnsi"/>
                <w:sz w:val="22"/>
                <w:szCs w:val="22"/>
              </w:rPr>
            </w:pPr>
            <w:r w:rsidRPr="00912E9B">
              <w:rPr>
                <w:rFonts w:asciiTheme="majorHAnsi" w:eastAsiaTheme="minorHAnsi" w:hAnsiTheme="majorHAnsi" w:cstheme="majorHAnsi"/>
                <w:sz w:val="22"/>
                <w:szCs w:val="22"/>
              </w:rPr>
              <w:t>means a Dispute in relation to a claimed conflict between ALPEX Rules</w:t>
            </w:r>
            <w:r w:rsidR="00C530F7" w:rsidRPr="00912E9B">
              <w:rPr>
                <w:rFonts w:asciiTheme="majorHAnsi" w:eastAsiaTheme="minorHAnsi" w:hAnsiTheme="majorHAnsi" w:cstheme="majorHAnsi"/>
                <w:sz w:val="22"/>
                <w:szCs w:val="22"/>
              </w:rPr>
              <w:t xml:space="preserve"> </w:t>
            </w:r>
            <w:r w:rsidR="00520B94" w:rsidRPr="00912E9B">
              <w:rPr>
                <w:rFonts w:asciiTheme="majorHAnsi" w:eastAsiaTheme="minorHAnsi" w:hAnsiTheme="majorHAnsi" w:cstheme="majorHAnsi"/>
                <w:sz w:val="22"/>
                <w:szCs w:val="22"/>
              </w:rPr>
              <w:t>or</w:t>
            </w:r>
            <w:r w:rsidR="00C530F7" w:rsidRPr="00912E9B">
              <w:rPr>
                <w:rFonts w:asciiTheme="majorHAnsi" w:eastAsiaTheme="minorHAnsi" w:hAnsiTheme="majorHAnsi" w:cstheme="majorHAnsi"/>
                <w:sz w:val="22"/>
                <w:szCs w:val="22"/>
              </w:rPr>
              <w:t xml:space="preserve"> the Procedures</w:t>
            </w:r>
            <w:r w:rsidR="005B2C53" w:rsidRPr="00912E9B">
              <w:rPr>
                <w:rFonts w:asciiTheme="majorHAnsi" w:eastAsiaTheme="minorHAnsi" w:hAnsiTheme="majorHAnsi" w:cstheme="majorHAnsi"/>
                <w:sz w:val="22"/>
                <w:szCs w:val="22"/>
              </w:rPr>
              <w:t xml:space="preserve"> </w:t>
            </w:r>
            <w:r w:rsidRPr="00912E9B">
              <w:rPr>
                <w:rFonts w:asciiTheme="majorHAnsi" w:eastAsiaTheme="minorHAnsi" w:hAnsiTheme="majorHAnsi" w:cstheme="majorHAnsi"/>
                <w:sz w:val="22"/>
                <w:szCs w:val="22"/>
              </w:rPr>
              <w:t>and other relevant Legal Requirements.</w:t>
            </w:r>
          </w:p>
        </w:tc>
      </w:tr>
      <w:tr w:rsidR="009B7A31" w:rsidRPr="00912E9B" w14:paraId="3E878D50" w14:textId="77777777" w:rsidTr="00D40051">
        <w:trPr>
          <w:cantSplit/>
        </w:trPr>
        <w:tc>
          <w:tcPr>
            <w:tcW w:w="2298" w:type="dxa"/>
            <w:shd w:val="clear" w:color="auto" w:fill="auto"/>
            <w:vAlign w:val="center"/>
          </w:tcPr>
          <w:p w14:paraId="6E450532" w14:textId="3B7F7D19" w:rsidR="00164AC7" w:rsidRPr="00912E9B" w:rsidRDefault="00164AC7" w:rsidP="00164AC7">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rPr>
              <w:t>Consumer</w:t>
            </w:r>
          </w:p>
        </w:tc>
        <w:tc>
          <w:tcPr>
            <w:tcW w:w="7088" w:type="dxa"/>
            <w:shd w:val="clear" w:color="auto" w:fill="auto"/>
            <w:vAlign w:val="center"/>
          </w:tcPr>
          <w:p w14:paraId="68E544A6" w14:textId="3AC39E32" w:rsidR="00164AC7" w:rsidRPr="00912E9B" w:rsidRDefault="00164AC7" w:rsidP="00D40051">
            <w:pPr>
              <w:spacing w:before="120" w:after="120" w:line="240" w:lineRule="auto"/>
              <w:rPr>
                <w:rFonts w:asciiTheme="majorHAnsi" w:hAnsiTheme="majorHAnsi" w:cstheme="majorHAnsi"/>
                <w:sz w:val="22"/>
                <w:szCs w:val="22"/>
              </w:rPr>
            </w:pPr>
            <w:r w:rsidRPr="00912E9B">
              <w:rPr>
                <w:rFonts w:asciiTheme="majorHAnsi" w:hAnsiTheme="majorHAnsi" w:cstheme="majorHAnsi"/>
                <w:sz w:val="22"/>
                <w:szCs w:val="22"/>
              </w:rPr>
              <w:t>means a resource which receives electricity for its own use.</w:t>
            </w:r>
          </w:p>
        </w:tc>
      </w:tr>
      <w:tr w:rsidR="000D3C2C" w:rsidRPr="00912E9B" w14:paraId="21A44FDB" w14:textId="77777777" w:rsidTr="00D40051">
        <w:trPr>
          <w:cantSplit/>
        </w:trPr>
        <w:tc>
          <w:tcPr>
            <w:tcW w:w="2298" w:type="dxa"/>
            <w:shd w:val="clear" w:color="auto" w:fill="auto"/>
            <w:vAlign w:val="center"/>
          </w:tcPr>
          <w:p w14:paraId="2E0D5EFB" w14:textId="4AAA39E4" w:rsidR="000D3C2C" w:rsidRPr="00912E9B" w:rsidRDefault="000D3C2C" w:rsidP="000D3C2C">
            <w:pPr>
              <w:pStyle w:val="CERGlossaryTerm"/>
              <w:rPr>
                <w:rFonts w:asciiTheme="majorHAnsi" w:hAnsiTheme="majorHAnsi" w:cstheme="majorHAnsi"/>
                <w:sz w:val="22"/>
                <w:szCs w:val="22"/>
              </w:rPr>
            </w:pPr>
            <w:r w:rsidRPr="00912E9B">
              <w:rPr>
                <w:rFonts w:asciiTheme="minorHAnsi" w:hAnsiTheme="minorHAnsi" w:cstheme="minorHAnsi"/>
                <w:sz w:val="22"/>
                <w:szCs w:val="22"/>
              </w:rPr>
              <w:t>Continuous</w:t>
            </w:r>
          </w:p>
        </w:tc>
        <w:tc>
          <w:tcPr>
            <w:tcW w:w="7088" w:type="dxa"/>
            <w:shd w:val="clear" w:color="auto" w:fill="auto"/>
            <w:vAlign w:val="center"/>
          </w:tcPr>
          <w:p w14:paraId="52019455" w14:textId="7F7BBA7D" w:rsidR="000D3C2C" w:rsidRPr="00912E9B" w:rsidRDefault="000D3C2C" w:rsidP="00D40051">
            <w:pPr>
              <w:spacing w:before="120" w:after="120" w:line="240" w:lineRule="auto"/>
              <w:rPr>
                <w:rFonts w:asciiTheme="majorHAnsi" w:hAnsiTheme="majorHAnsi" w:cstheme="majorHAnsi"/>
                <w:sz w:val="22"/>
                <w:szCs w:val="22"/>
              </w:rPr>
            </w:pPr>
            <w:r w:rsidRPr="00912E9B">
              <w:rPr>
                <w:rFonts w:asciiTheme="majorHAnsi" w:hAnsiTheme="majorHAnsi" w:cstheme="majorHAnsi"/>
                <w:sz w:val="22"/>
                <w:szCs w:val="22"/>
              </w:rPr>
              <w:t>means a Trade conducted in the Intraday Market Segment.</w:t>
            </w:r>
          </w:p>
        </w:tc>
      </w:tr>
      <w:tr w:rsidR="009B7A31" w:rsidRPr="00912E9B" w14:paraId="3A1B54ED" w14:textId="77777777" w:rsidTr="00D40051">
        <w:trPr>
          <w:cantSplit/>
        </w:trPr>
        <w:tc>
          <w:tcPr>
            <w:tcW w:w="2298" w:type="dxa"/>
            <w:shd w:val="clear" w:color="auto" w:fill="auto"/>
            <w:vAlign w:val="center"/>
          </w:tcPr>
          <w:p w14:paraId="10DDB48E" w14:textId="6A83BE63"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Continuous Intraday Trading</w:t>
            </w:r>
          </w:p>
        </w:tc>
        <w:tc>
          <w:tcPr>
            <w:tcW w:w="7088" w:type="dxa"/>
            <w:shd w:val="clear" w:color="auto" w:fill="auto"/>
            <w:vAlign w:val="center"/>
          </w:tcPr>
          <w:p w14:paraId="24646249" w14:textId="6B03250C" w:rsidR="000D3C2C" w:rsidRPr="00912E9B" w:rsidRDefault="000D3C2C" w:rsidP="00D40051">
            <w:pPr>
              <w:spacing w:before="120" w:after="120" w:line="240" w:lineRule="auto"/>
              <w:rPr>
                <w:rFonts w:asciiTheme="majorHAnsi" w:hAnsiTheme="majorHAnsi" w:cstheme="majorHAnsi"/>
                <w:sz w:val="22"/>
                <w:szCs w:val="22"/>
                <w:lang w:val="en-US"/>
              </w:rPr>
            </w:pPr>
            <w:r w:rsidRPr="00912E9B">
              <w:rPr>
                <w:rFonts w:asciiTheme="majorHAnsi" w:hAnsiTheme="majorHAnsi" w:cstheme="majorHAnsi"/>
                <w:sz w:val="22"/>
                <w:szCs w:val="22"/>
              </w:rPr>
              <w:t xml:space="preserve">the trading process (segment) </w:t>
            </w:r>
            <w:r w:rsidRPr="00912E9B">
              <w:rPr>
                <w:rFonts w:asciiTheme="majorHAnsi" w:hAnsiTheme="majorHAnsi" w:cstheme="majorHAnsi"/>
                <w:sz w:val="22"/>
                <w:szCs w:val="22"/>
                <w:lang w:val="en-US"/>
              </w:rPr>
              <w:t xml:space="preserve">of the Intraday Market </w:t>
            </w:r>
            <w:r w:rsidRPr="00912E9B">
              <w:rPr>
                <w:rFonts w:asciiTheme="majorHAnsi" w:hAnsiTheme="majorHAnsi" w:cstheme="majorHAnsi"/>
                <w:sz w:val="22"/>
                <w:szCs w:val="22"/>
              </w:rPr>
              <w:t xml:space="preserve">for </w:t>
            </w:r>
            <w:r w:rsidR="004965DC" w:rsidRPr="00912E9B">
              <w:rPr>
                <w:rFonts w:asciiTheme="majorHAnsi" w:hAnsiTheme="majorHAnsi" w:cstheme="majorHAnsi"/>
                <w:sz w:val="22"/>
                <w:szCs w:val="22"/>
              </w:rPr>
              <w:t>M</w:t>
            </w:r>
            <w:r w:rsidRPr="00912E9B">
              <w:rPr>
                <w:rFonts w:asciiTheme="majorHAnsi" w:hAnsiTheme="majorHAnsi" w:cstheme="majorHAnsi"/>
                <w:sz w:val="22"/>
                <w:szCs w:val="22"/>
              </w:rPr>
              <w:t xml:space="preserve">atching </w:t>
            </w:r>
            <w:r w:rsidRPr="00912E9B">
              <w:rPr>
                <w:rFonts w:asciiTheme="majorHAnsi" w:hAnsiTheme="majorHAnsi" w:cstheme="majorHAnsi"/>
                <w:sz w:val="22"/>
                <w:szCs w:val="22"/>
                <w:lang w:val="el-GR"/>
              </w:rPr>
              <w:t>Ο</w:t>
            </w:r>
            <w:proofErr w:type="spellStart"/>
            <w:r w:rsidRPr="00912E9B">
              <w:rPr>
                <w:rFonts w:asciiTheme="majorHAnsi" w:hAnsiTheme="majorHAnsi" w:cstheme="majorHAnsi"/>
                <w:sz w:val="22"/>
                <w:szCs w:val="22"/>
              </w:rPr>
              <w:t>rders</w:t>
            </w:r>
            <w:proofErr w:type="spellEnd"/>
            <w:r w:rsidRPr="00912E9B">
              <w:rPr>
                <w:rFonts w:asciiTheme="majorHAnsi" w:hAnsiTheme="majorHAnsi" w:cstheme="majorHAnsi"/>
                <w:sz w:val="22"/>
                <w:szCs w:val="22"/>
              </w:rPr>
              <w:t xml:space="preserve"> and allocating Cross-Zonal Capacities continuously. </w:t>
            </w:r>
          </w:p>
        </w:tc>
      </w:tr>
      <w:tr w:rsidR="00912E9B" w:rsidRPr="00912E9B" w14:paraId="2C2A2B64" w14:textId="77777777" w:rsidTr="00D40051">
        <w:trPr>
          <w:cantSplit/>
        </w:trPr>
        <w:tc>
          <w:tcPr>
            <w:tcW w:w="2298" w:type="dxa"/>
            <w:shd w:val="clear" w:color="auto" w:fill="auto"/>
            <w:vAlign w:val="center"/>
          </w:tcPr>
          <w:p w14:paraId="2F8622F8" w14:textId="7B3C5F92"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Contract</w:t>
            </w:r>
          </w:p>
        </w:tc>
        <w:tc>
          <w:tcPr>
            <w:tcW w:w="7088" w:type="dxa"/>
            <w:shd w:val="clear" w:color="auto" w:fill="auto"/>
            <w:vAlign w:val="center"/>
          </w:tcPr>
          <w:p w14:paraId="092D5BDF" w14:textId="350B877F"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that Parties agree to fulfil obligations for selling or purchasing of electricity in local ALPEX Markets. </w:t>
            </w:r>
          </w:p>
        </w:tc>
      </w:tr>
      <w:tr w:rsidR="00912E9B" w:rsidRPr="00912E9B" w14:paraId="304743EB" w14:textId="77777777" w:rsidTr="00D40051">
        <w:trPr>
          <w:cantSplit/>
          <w:trHeight w:val="41"/>
        </w:trPr>
        <w:tc>
          <w:tcPr>
            <w:tcW w:w="2298" w:type="dxa"/>
            <w:shd w:val="clear" w:color="auto" w:fill="auto"/>
            <w:vAlign w:val="center"/>
          </w:tcPr>
          <w:p w14:paraId="0C314AA5" w14:textId="36DD55E8" w:rsidR="000D3C2C" w:rsidRPr="00912E9B" w:rsidRDefault="000D3C2C" w:rsidP="000D3C2C">
            <w:pPr>
              <w:pStyle w:val="CERGlossaryTerm"/>
              <w:rPr>
                <w:rFonts w:asciiTheme="majorHAnsi" w:hAnsiTheme="majorHAnsi" w:cstheme="majorHAnsi"/>
                <w:sz w:val="22"/>
                <w:szCs w:val="22"/>
              </w:rPr>
            </w:pPr>
            <w:r w:rsidRPr="00912E9B">
              <w:rPr>
                <w:rFonts w:asciiTheme="minorHAnsi" w:eastAsiaTheme="minorEastAsia" w:hAnsiTheme="minorHAnsi" w:cstheme="minorHAnsi"/>
                <w:sz w:val="22"/>
                <w:szCs w:val="22"/>
              </w:rPr>
              <w:t>Contribution Rate</w:t>
            </w:r>
          </w:p>
        </w:tc>
        <w:tc>
          <w:tcPr>
            <w:tcW w:w="7088" w:type="dxa"/>
            <w:shd w:val="clear" w:color="auto" w:fill="auto"/>
            <w:vAlign w:val="center"/>
          </w:tcPr>
          <w:p w14:paraId="5A094274" w14:textId="73065EFB"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contribution rate, set by virtue of a relevant Decision of ALPEX</w:t>
            </w:r>
          </w:p>
        </w:tc>
      </w:tr>
      <w:tr w:rsidR="00912E9B" w:rsidRPr="00912E9B" w14:paraId="3A0E6C10" w14:textId="77777777" w:rsidTr="00D40051">
        <w:trPr>
          <w:cantSplit/>
        </w:trPr>
        <w:tc>
          <w:tcPr>
            <w:tcW w:w="2298" w:type="dxa"/>
            <w:shd w:val="clear" w:color="auto" w:fill="auto"/>
            <w:vAlign w:val="center"/>
          </w:tcPr>
          <w:p w14:paraId="45FAD90F" w14:textId="1A78E114"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Counterparty</w:t>
            </w:r>
          </w:p>
        </w:tc>
        <w:tc>
          <w:tcPr>
            <w:tcW w:w="7088" w:type="dxa"/>
            <w:shd w:val="clear" w:color="auto" w:fill="auto"/>
            <w:vAlign w:val="center"/>
          </w:tcPr>
          <w:p w14:paraId="4365F901" w14:textId="0BAEAD6B"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Clearing Member </w:t>
            </w:r>
            <w:proofErr w:type="gramStart"/>
            <w:r w:rsidRPr="00912E9B">
              <w:rPr>
                <w:rFonts w:asciiTheme="majorHAnsi" w:hAnsiTheme="majorHAnsi" w:cstheme="majorHAnsi"/>
                <w:sz w:val="22"/>
                <w:szCs w:val="22"/>
              </w:rPr>
              <w:t>entering into</w:t>
            </w:r>
            <w:proofErr w:type="gramEnd"/>
            <w:r w:rsidRPr="00912E9B">
              <w:rPr>
                <w:rFonts w:asciiTheme="majorHAnsi" w:hAnsiTheme="majorHAnsi" w:cstheme="majorHAnsi"/>
                <w:sz w:val="22"/>
                <w:szCs w:val="22"/>
              </w:rPr>
              <w:t xml:space="preserve"> Transaction with ALPEX.</w:t>
            </w:r>
          </w:p>
        </w:tc>
      </w:tr>
      <w:tr w:rsidR="00912E9B" w:rsidRPr="00912E9B" w14:paraId="476B5BC9" w14:textId="77777777" w:rsidTr="00D40051">
        <w:trPr>
          <w:cantSplit/>
        </w:trPr>
        <w:tc>
          <w:tcPr>
            <w:tcW w:w="2298" w:type="dxa"/>
            <w:shd w:val="clear" w:color="auto" w:fill="auto"/>
            <w:vAlign w:val="center"/>
          </w:tcPr>
          <w:p w14:paraId="5D04AE1C" w14:textId="407EC6D8"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Court</w:t>
            </w:r>
          </w:p>
        </w:tc>
        <w:tc>
          <w:tcPr>
            <w:tcW w:w="7088" w:type="dxa"/>
            <w:shd w:val="clear" w:color="auto" w:fill="auto"/>
            <w:vAlign w:val="center"/>
          </w:tcPr>
          <w:p w14:paraId="179843BD" w14:textId="67D5A6EC"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court within jurisprudence system of Albania or Kosovo as the case might be.</w:t>
            </w:r>
          </w:p>
        </w:tc>
      </w:tr>
      <w:tr w:rsidR="00912E9B" w:rsidRPr="00912E9B" w14:paraId="2D6ACFE7" w14:textId="77777777" w:rsidTr="00D40051">
        <w:trPr>
          <w:cantSplit/>
        </w:trPr>
        <w:tc>
          <w:tcPr>
            <w:tcW w:w="2298" w:type="dxa"/>
            <w:shd w:val="clear" w:color="auto" w:fill="auto"/>
            <w:vAlign w:val="center"/>
          </w:tcPr>
          <w:p w14:paraId="3313CF4B" w14:textId="15AA8C7F"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Credit Limit</w:t>
            </w:r>
          </w:p>
        </w:tc>
        <w:tc>
          <w:tcPr>
            <w:tcW w:w="7088" w:type="dxa"/>
            <w:shd w:val="clear" w:color="auto" w:fill="auto"/>
            <w:vAlign w:val="center"/>
          </w:tcPr>
          <w:p w14:paraId="1A042E24" w14:textId="5F4D4552"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financial limits required of and provided by a Clearing Member under the Clearing and Settlement Procedures which are applicable in respect of the capacity of the Exchange Member to enter Orders and conduct Transactions in ALPEX Markets.</w:t>
            </w:r>
          </w:p>
        </w:tc>
      </w:tr>
      <w:tr w:rsidR="00912E9B" w:rsidRPr="00912E9B" w14:paraId="7C1EAA56" w14:textId="77777777" w:rsidTr="00D40051">
        <w:trPr>
          <w:cantSplit/>
        </w:trPr>
        <w:tc>
          <w:tcPr>
            <w:tcW w:w="2298" w:type="dxa"/>
            <w:shd w:val="clear" w:color="auto" w:fill="auto"/>
            <w:vAlign w:val="center"/>
          </w:tcPr>
          <w:p w14:paraId="6AB1E3A3" w14:textId="207E3AA3" w:rsidR="000D3C2C" w:rsidRPr="00912E9B" w:rsidRDefault="000D3C2C" w:rsidP="000D3C2C">
            <w:pPr>
              <w:pStyle w:val="CERGlossaryTerm"/>
              <w:rPr>
                <w:rFonts w:asciiTheme="majorHAnsi" w:hAnsiTheme="majorHAnsi" w:cstheme="majorHAnsi"/>
                <w:sz w:val="22"/>
                <w:szCs w:val="22"/>
              </w:rPr>
            </w:pPr>
            <w:r w:rsidRPr="00912E9B">
              <w:rPr>
                <w:rFonts w:asciiTheme="minorHAnsi" w:hAnsiTheme="minorHAnsi" w:cstheme="minorHAnsi"/>
                <w:sz w:val="22"/>
                <w:szCs w:val="22"/>
              </w:rPr>
              <w:t>CRIDA-1</w:t>
            </w:r>
          </w:p>
        </w:tc>
        <w:tc>
          <w:tcPr>
            <w:tcW w:w="7088" w:type="dxa"/>
            <w:shd w:val="clear" w:color="auto" w:fill="auto"/>
            <w:vAlign w:val="center"/>
          </w:tcPr>
          <w:p w14:paraId="4576DD90" w14:textId="3DE0AE31"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first Coupled Intraday Auction, involving the AL and KS Bidding Zones and/or other Bidding Zones, conducted for a Delivery Day covering the Market Time Unit in the Delivery Day specified in the chart in paragraph A.2.4.6 of the Trading Procedures.</w:t>
            </w:r>
          </w:p>
        </w:tc>
      </w:tr>
      <w:tr w:rsidR="00912E9B" w:rsidRPr="00912E9B" w14:paraId="3766E599" w14:textId="77777777" w:rsidTr="00D40051">
        <w:trPr>
          <w:cantSplit/>
        </w:trPr>
        <w:tc>
          <w:tcPr>
            <w:tcW w:w="2298" w:type="dxa"/>
            <w:shd w:val="clear" w:color="auto" w:fill="auto"/>
            <w:vAlign w:val="center"/>
          </w:tcPr>
          <w:p w14:paraId="67072FB7" w14:textId="123B3718" w:rsidR="000D3C2C" w:rsidRPr="00912E9B" w:rsidRDefault="000D3C2C" w:rsidP="000D3C2C">
            <w:pPr>
              <w:pStyle w:val="CERGlossaryTerm"/>
              <w:rPr>
                <w:rFonts w:asciiTheme="majorHAnsi" w:hAnsiTheme="majorHAnsi" w:cstheme="majorHAnsi"/>
                <w:sz w:val="22"/>
                <w:szCs w:val="22"/>
              </w:rPr>
            </w:pPr>
            <w:r w:rsidRPr="00912E9B">
              <w:rPr>
                <w:rFonts w:asciiTheme="minorHAnsi" w:hAnsiTheme="minorHAnsi" w:cstheme="minorHAnsi"/>
                <w:sz w:val="22"/>
                <w:szCs w:val="22"/>
              </w:rPr>
              <w:lastRenderedPageBreak/>
              <w:t>CRIDA-2</w:t>
            </w:r>
          </w:p>
        </w:tc>
        <w:tc>
          <w:tcPr>
            <w:tcW w:w="7088" w:type="dxa"/>
            <w:shd w:val="clear" w:color="auto" w:fill="auto"/>
            <w:vAlign w:val="center"/>
          </w:tcPr>
          <w:p w14:paraId="19BE5F9E" w14:textId="6F8769A9"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The second Coupled Intraday Auction, involving the AL and KS Bidding Zones and/or other Bidding Zones, conducted for a Delivery Day covering </w:t>
            </w:r>
            <w:r w:rsidRPr="00912E9B">
              <w:rPr>
                <w:rFonts w:asciiTheme="majorHAnsi" w:hAnsiTheme="majorHAnsi" w:cstheme="majorHAnsi"/>
                <w:sz w:val="22"/>
                <w:szCs w:val="22"/>
                <w:lang w:val="en-US"/>
              </w:rPr>
              <w:t>the</w:t>
            </w:r>
            <w:r w:rsidRPr="00912E9B">
              <w:rPr>
                <w:rFonts w:asciiTheme="majorHAnsi" w:hAnsiTheme="majorHAnsi" w:cstheme="majorHAnsi"/>
                <w:sz w:val="22"/>
                <w:szCs w:val="22"/>
              </w:rPr>
              <w:t xml:space="preserve"> Market Time Unit in the Delivery Day specified in the chart in paragraph A.2.4.6 of the Trading Procedures.</w:t>
            </w:r>
          </w:p>
        </w:tc>
      </w:tr>
      <w:tr w:rsidR="00912E9B" w:rsidRPr="00912E9B" w14:paraId="6EA4AED6" w14:textId="77777777" w:rsidTr="00D40051">
        <w:trPr>
          <w:cantSplit/>
        </w:trPr>
        <w:tc>
          <w:tcPr>
            <w:tcW w:w="2298" w:type="dxa"/>
            <w:shd w:val="clear" w:color="auto" w:fill="auto"/>
            <w:vAlign w:val="center"/>
          </w:tcPr>
          <w:p w14:paraId="6945BAE6" w14:textId="7402F211" w:rsidR="000D3C2C" w:rsidRPr="00912E9B" w:rsidRDefault="000D3C2C" w:rsidP="000D3C2C">
            <w:pPr>
              <w:pStyle w:val="CERGlossaryTerm"/>
              <w:rPr>
                <w:rFonts w:asciiTheme="majorHAnsi" w:hAnsiTheme="majorHAnsi" w:cstheme="majorHAnsi"/>
                <w:sz w:val="22"/>
                <w:szCs w:val="22"/>
              </w:rPr>
            </w:pPr>
            <w:r w:rsidRPr="00912E9B">
              <w:rPr>
                <w:rFonts w:asciiTheme="minorHAnsi" w:hAnsiTheme="minorHAnsi" w:cstheme="minorHAnsi"/>
                <w:sz w:val="22"/>
                <w:szCs w:val="22"/>
              </w:rPr>
              <w:t>CRIDA-3</w:t>
            </w:r>
          </w:p>
        </w:tc>
        <w:tc>
          <w:tcPr>
            <w:tcW w:w="7088" w:type="dxa"/>
            <w:shd w:val="clear" w:color="auto" w:fill="auto"/>
            <w:vAlign w:val="center"/>
          </w:tcPr>
          <w:p w14:paraId="33200676" w14:textId="08EDD036"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third Coupled Intraday Auction, involving the AL and KS Bidding Zones and/or other Bidding Zones, conducted for a Delivery Day covering the Market Time Units of the Delivery Day specified in the chart in paragraph A.2.4.6 of the Trading Procedures.</w:t>
            </w:r>
          </w:p>
        </w:tc>
      </w:tr>
      <w:tr w:rsidR="00912E9B" w:rsidRPr="00912E9B" w14:paraId="04F2DE9E" w14:textId="77777777" w:rsidTr="00D40051">
        <w:trPr>
          <w:cantSplit/>
        </w:trPr>
        <w:tc>
          <w:tcPr>
            <w:tcW w:w="2298" w:type="dxa"/>
            <w:shd w:val="clear" w:color="auto" w:fill="auto"/>
            <w:vAlign w:val="center"/>
          </w:tcPr>
          <w:p w14:paraId="79C5E18A" w14:textId="6FFECAAC" w:rsidR="000D3C2C" w:rsidRPr="00912E9B" w:rsidRDefault="000D3C2C" w:rsidP="000D3C2C">
            <w:pPr>
              <w:pStyle w:val="CERGlossaryTerm"/>
              <w:rPr>
                <w:rFonts w:asciiTheme="majorHAnsi" w:hAnsiTheme="majorHAnsi" w:cstheme="majorHAnsi"/>
                <w:sz w:val="22"/>
                <w:szCs w:val="22"/>
              </w:rPr>
            </w:pPr>
            <w:r w:rsidRPr="00912E9B">
              <w:rPr>
                <w:rFonts w:asciiTheme="minorHAnsi" w:hAnsiTheme="minorHAnsi" w:cstheme="minorHAnsi"/>
                <w:sz w:val="22"/>
                <w:szCs w:val="22"/>
              </w:rPr>
              <w:t>Cross</w:t>
            </w:r>
            <w:r w:rsidR="00826B6F" w:rsidRPr="00912E9B">
              <w:rPr>
                <w:rFonts w:asciiTheme="minorHAnsi" w:hAnsiTheme="minorHAnsi" w:cstheme="minorHAnsi"/>
                <w:sz w:val="22"/>
                <w:szCs w:val="22"/>
              </w:rPr>
              <w:t xml:space="preserve"> </w:t>
            </w:r>
            <w:r w:rsidRPr="00912E9B">
              <w:rPr>
                <w:rFonts w:asciiTheme="minorHAnsi" w:hAnsiTheme="minorHAnsi" w:cstheme="minorHAnsi"/>
                <w:sz w:val="22"/>
                <w:szCs w:val="22"/>
              </w:rPr>
              <w:t>Zonal Capacity</w:t>
            </w:r>
          </w:p>
        </w:tc>
        <w:tc>
          <w:tcPr>
            <w:tcW w:w="7088" w:type="dxa"/>
            <w:shd w:val="clear" w:color="auto" w:fill="auto"/>
            <w:vAlign w:val="center"/>
          </w:tcPr>
          <w:p w14:paraId="376A52AF" w14:textId="70500870"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The capability of the interconnected system to accommodate energy transfer between </w:t>
            </w:r>
            <w:r w:rsidR="0072326D" w:rsidRPr="00912E9B">
              <w:rPr>
                <w:rFonts w:asciiTheme="majorHAnsi" w:hAnsiTheme="majorHAnsi" w:cstheme="majorHAnsi"/>
                <w:sz w:val="22"/>
                <w:szCs w:val="22"/>
              </w:rPr>
              <w:t>B</w:t>
            </w:r>
            <w:r w:rsidRPr="00912E9B">
              <w:rPr>
                <w:rFonts w:asciiTheme="majorHAnsi" w:hAnsiTheme="majorHAnsi" w:cstheme="majorHAnsi"/>
                <w:sz w:val="22"/>
                <w:szCs w:val="22"/>
              </w:rPr>
              <w:t xml:space="preserve">idding </w:t>
            </w:r>
            <w:r w:rsidR="0072326D" w:rsidRPr="00912E9B">
              <w:rPr>
                <w:rFonts w:asciiTheme="majorHAnsi" w:hAnsiTheme="majorHAnsi" w:cstheme="majorHAnsi"/>
                <w:sz w:val="22"/>
                <w:szCs w:val="22"/>
              </w:rPr>
              <w:t>Z</w:t>
            </w:r>
            <w:r w:rsidRPr="00912E9B">
              <w:rPr>
                <w:rFonts w:asciiTheme="majorHAnsi" w:hAnsiTheme="majorHAnsi" w:cstheme="majorHAnsi"/>
                <w:sz w:val="22"/>
                <w:szCs w:val="22"/>
              </w:rPr>
              <w:t>ones.</w:t>
            </w:r>
          </w:p>
        </w:tc>
      </w:tr>
      <w:tr w:rsidR="00912E9B" w:rsidRPr="00912E9B" w14:paraId="4D09D819" w14:textId="77777777" w:rsidTr="00D40051">
        <w:trPr>
          <w:cantSplit/>
        </w:trPr>
        <w:tc>
          <w:tcPr>
            <w:tcW w:w="2298" w:type="dxa"/>
            <w:shd w:val="clear" w:color="auto" w:fill="auto"/>
            <w:vAlign w:val="center"/>
          </w:tcPr>
          <w:p w14:paraId="75B6ACED" w14:textId="5522001B"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Currency </w:t>
            </w:r>
          </w:p>
        </w:tc>
        <w:tc>
          <w:tcPr>
            <w:tcW w:w="7088" w:type="dxa"/>
            <w:shd w:val="clear" w:color="auto" w:fill="auto"/>
            <w:vAlign w:val="center"/>
          </w:tcPr>
          <w:p w14:paraId="7C150265" w14:textId="2D8F4AC0"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Euro in Albania and Kosovo and Lek in Albania and “</w:t>
            </w:r>
            <w:r w:rsidRPr="00912E9B">
              <w:rPr>
                <w:rFonts w:asciiTheme="majorHAnsi" w:hAnsiTheme="majorHAnsi" w:cstheme="majorHAnsi"/>
                <w:b/>
                <w:sz w:val="22"/>
                <w:szCs w:val="22"/>
              </w:rPr>
              <w:t>Currencies</w:t>
            </w:r>
            <w:r w:rsidRPr="00912E9B">
              <w:rPr>
                <w:rFonts w:asciiTheme="majorHAnsi" w:hAnsiTheme="majorHAnsi" w:cstheme="majorHAnsi"/>
                <w:sz w:val="22"/>
                <w:szCs w:val="22"/>
              </w:rPr>
              <w:t>” shall be construed accordingly.</w:t>
            </w:r>
          </w:p>
        </w:tc>
      </w:tr>
      <w:tr w:rsidR="00912E9B" w:rsidRPr="00912E9B" w14:paraId="2EA7B184"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274AB07" w14:textId="77777777"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Cutover Time</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0D1E0BF" w14:textId="4F9B32C2"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specific time, defined by a respective decision issued by the Regulatory Authority, at which the Exchange activities of ALPEX Markets shall commence.</w:t>
            </w:r>
          </w:p>
        </w:tc>
      </w:tr>
      <w:tr w:rsidR="00912E9B" w:rsidRPr="00912E9B" w14:paraId="63DD927D"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FFD8D45" w14:textId="54918634" w:rsidR="000D3C2C" w:rsidRPr="00912E9B" w:rsidRDefault="000D3C2C" w:rsidP="000D3C2C">
            <w:pPr>
              <w:pStyle w:val="CERGlossaryTerm"/>
              <w:rPr>
                <w:rFonts w:asciiTheme="majorHAnsi" w:hAnsiTheme="majorHAnsi" w:cstheme="majorHAnsi"/>
                <w:sz w:val="22"/>
                <w:szCs w:val="22"/>
              </w:rPr>
            </w:pPr>
            <w:r w:rsidRPr="00912E9B">
              <w:rPr>
                <w:rFonts w:asciiTheme="minorHAnsi" w:hAnsiTheme="minorHAnsi" w:cstheme="minorHAnsi"/>
                <w:sz w:val="22"/>
                <w:szCs w:val="22"/>
              </w:rPr>
              <w:t>DAM</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D215C44" w14:textId="6DD654D3"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Day-Ahead Market</w:t>
            </w:r>
          </w:p>
        </w:tc>
      </w:tr>
      <w:tr w:rsidR="00912E9B" w:rsidRPr="00912E9B" w14:paraId="4261ECBB"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A98B1D7" w14:textId="369DD71B" w:rsidR="000D3C2C" w:rsidRPr="00912E9B" w:rsidRDefault="000D3C2C" w:rsidP="000D3C2C">
            <w:pPr>
              <w:pStyle w:val="CERGlossaryTerm"/>
              <w:rPr>
                <w:rFonts w:asciiTheme="majorHAnsi" w:hAnsiTheme="majorHAnsi" w:cstheme="majorHAnsi"/>
                <w:sz w:val="22"/>
                <w:szCs w:val="22"/>
              </w:rPr>
            </w:pPr>
            <w:r w:rsidRPr="00912E9B">
              <w:rPr>
                <w:rFonts w:asciiTheme="majorHAnsi" w:hAnsiTheme="majorHAnsi" w:cstheme="majorHAnsi"/>
                <w:sz w:val="22"/>
                <w:szCs w:val="22"/>
              </w:rPr>
              <w:t>Data</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EEB4279" w14:textId="3BDB1EDD" w:rsidR="000D3C2C" w:rsidRPr="00912E9B" w:rsidRDefault="000D3C2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any information related to electricity market.</w:t>
            </w:r>
          </w:p>
        </w:tc>
      </w:tr>
      <w:tr w:rsidR="00912E9B" w:rsidRPr="00912E9B" w14:paraId="26FAB0E5"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D5A6705" w14:textId="1C9D3C36" w:rsidR="00B63C7A" w:rsidRPr="00912E9B" w:rsidRDefault="00B63C7A" w:rsidP="00B63C7A">
            <w:pPr>
              <w:pStyle w:val="CERGlossaryTerm"/>
              <w:rPr>
                <w:rFonts w:asciiTheme="majorHAnsi" w:hAnsiTheme="majorHAnsi" w:cstheme="majorHAnsi"/>
                <w:sz w:val="22"/>
                <w:szCs w:val="22"/>
              </w:rPr>
            </w:pPr>
            <w:r w:rsidRPr="00912E9B">
              <w:rPr>
                <w:rFonts w:asciiTheme="majorHAnsi" w:hAnsiTheme="majorHAnsi" w:cstheme="majorHAnsi"/>
                <w:sz w:val="22"/>
                <w:szCs w:val="22"/>
              </w:rPr>
              <w:t>Data Protection Legislation</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002F05B5" w14:textId="571BA541" w:rsidR="00B63C7A" w:rsidRPr="00912E9B" w:rsidRDefault="00B63C7A"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Regulation and, in each case, all regulations, statutes and instruments made thereunder as may be amended from time to time and any other applicable legislation which implements and any amendment or replacement thereto.</w:t>
            </w:r>
          </w:p>
        </w:tc>
      </w:tr>
      <w:tr w:rsidR="00912E9B" w:rsidRPr="00912E9B" w14:paraId="34F9A18B"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439901D" w14:textId="59B56737" w:rsidR="00B63C7A" w:rsidRPr="00912E9B" w:rsidRDefault="00B63C7A" w:rsidP="00B63C7A">
            <w:pPr>
              <w:pStyle w:val="CERGlossaryTerm"/>
              <w:rPr>
                <w:rFonts w:asciiTheme="majorHAnsi" w:hAnsiTheme="majorHAnsi" w:cstheme="majorHAnsi"/>
                <w:sz w:val="22"/>
                <w:szCs w:val="22"/>
              </w:rPr>
            </w:pPr>
            <w:r w:rsidRPr="00912E9B">
              <w:rPr>
                <w:rFonts w:asciiTheme="majorHAnsi" w:hAnsiTheme="majorHAnsi" w:cstheme="majorHAnsi"/>
                <w:sz w:val="22"/>
                <w:szCs w:val="22"/>
              </w:rPr>
              <w:t>Day</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F5AAF08" w14:textId="494B033A" w:rsidR="00B63C7A" w:rsidRPr="00912E9B" w:rsidRDefault="00B63C7A"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calendar day.</w:t>
            </w:r>
          </w:p>
        </w:tc>
      </w:tr>
      <w:tr w:rsidR="00912E9B" w:rsidRPr="00912E9B" w14:paraId="6201CB81" w14:textId="77777777" w:rsidTr="00D40051">
        <w:trPr>
          <w:cantSplit/>
        </w:trPr>
        <w:tc>
          <w:tcPr>
            <w:tcW w:w="2298" w:type="dxa"/>
            <w:shd w:val="clear" w:color="auto" w:fill="auto"/>
            <w:vAlign w:val="center"/>
          </w:tcPr>
          <w:p w14:paraId="513F9828" w14:textId="17AA6E72" w:rsidR="00B63C7A" w:rsidRPr="00912E9B" w:rsidRDefault="00B63C7A" w:rsidP="00B63C7A">
            <w:pPr>
              <w:pStyle w:val="CERGlossaryTerm"/>
              <w:rPr>
                <w:rFonts w:asciiTheme="majorHAnsi" w:hAnsiTheme="majorHAnsi" w:cstheme="majorHAnsi"/>
                <w:sz w:val="22"/>
                <w:szCs w:val="22"/>
              </w:rPr>
            </w:pPr>
            <w:r w:rsidRPr="00912E9B">
              <w:rPr>
                <w:rFonts w:asciiTheme="majorHAnsi" w:hAnsiTheme="majorHAnsi" w:cstheme="majorHAnsi"/>
                <w:sz w:val="22"/>
                <w:szCs w:val="22"/>
              </w:rPr>
              <w:t>Day-</w:t>
            </w:r>
            <w:r w:rsidR="00DE368E" w:rsidRPr="00912E9B">
              <w:rPr>
                <w:rFonts w:asciiTheme="majorHAnsi" w:hAnsiTheme="majorHAnsi" w:cstheme="majorHAnsi"/>
                <w:sz w:val="22"/>
                <w:szCs w:val="22"/>
              </w:rPr>
              <w:t>A</w:t>
            </w:r>
            <w:r w:rsidRPr="00912E9B">
              <w:rPr>
                <w:rFonts w:asciiTheme="majorHAnsi" w:hAnsiTheme="majorHAnsi" w:cstheme="majorHAnsi"/>
                <w:sz w:val="22"/>
                <w:szCs w:val="22"/>
              </w:rPr>
              <w:t>head Auction</w:t>
            </w:r>
          </w:p>
        </w:tc>
        <w:tc>
          <w:tcPr>
            <w:tcW w:w="7088" w:type="dxa"/>
            <w:shd w:val="clear" w:color="auto" w:fill="auto"/>
            <w:vAlign w:val="center"/>
          </w:tcPr>
          <w:p w14:paraId="0FBD08A8" w14:textId="60B83CD5" w:rsidR="00B63C7A" w:rsidRPr="00912E9B" w:rsidRDefault="00B63C7A"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an Auction in the Day-Ahead Market Segment.</w:t>
            </w:r>
          </w:p>
        </w:tc>
      </w:tr>
      <w:tr w:rsidR="00912E9B" w:rsidRPr="00912E9B" w14:paraId="2853DBDA" w14:textId="77777777" w:rsidTr="00D40051">
        <w:trPr>
          <w:cantSplit/>
        </w:trPr>
        <w:tc>
          <w:tcPr>
            <w:tcW w:w="2298" w:type="dxa"/>
            <w:shd w:val="clear" w:color="auto" w:fill="auto"/>
            <w:vAlign w:val="center"/>
          </w:tcPr>
          <w:p w14:paraId="588A5D38" w14:textId="641B29F1" w:rsidR="00B63C7A" w:rsidRPr="00912E9B" w:rsidRDefault="00B63C7A" w:rsidP="00B63C7A">
            <w:pPr>
              <w:pStyle w:val="CERGlossaryTerm"/>
              <w:rPr>
                <w:rFonts w:asciiTheme="majorHAnsi" w:hAnsiTheme="majorHAnsi" w:cstheme="majorHAnsi"/>
                <w:sz w:val="22"/>
                <w:szCs w:val="22"/>
              </w:rPr>
            </w:pPr>
            <w:r w:rsidRPr="00912E9B">
              <w:rPr>
                <w:rFonts w:asciiTheme="majorHAnsi" w:hAnsiTheme="majorHAnsi" w:cstheme="majorHAnsi"/>
                <w:sz w:val="22"/>
                <w:szCs w:val="22"/>
              </w:rPr>
              <w:t>Day-Ahead Market</w:t>
            </w:r>
          </w:p>
        </w:tc>
        <w:tc>
          <w:tcPr>
            <w:tcW w:w="7088" w:type="dxa"/>
            <w:shd w:val="clear" w:color="auto" w:fill="auto"/>
            <w:vAlign w:val="center"/>
          </w:tcPr>
          <w:p w14:paraId="4F270E13" w14:textId="261C946D" w:rsidR="00B63C7A" w:rsidRPr="00912E9B" w:rsidRDefault="00B63C7A"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electricity market, where submission of Sell and Buy Orders takes place the day before the delivery, in the time interval from Gate Opening Time until the Gate Closure Time.</w:t>
            </w:r>
          </w:p>
        </w:tc>
      </w:tr>
      <w:tr w:rsidR="00912E9B" w:rsidRPr="00912E9B" w14:paraId="3586832F" w14:textId="77777777" w:rsidTr="00D40051">
        <w:trPr>
          <w:cantSplit/>
        </w:trPr>
        <w:tc>
          <w:tcPr>
            <w:tcW w:w="2298" w:type="dxa"/>
            <w:shd w:val="clear" w:color="auto" w:fill="auto"/>
            <w:vAlign w:val="center"/>
          </w:tcPr>
          <w:p w14:paraId="19424549" w14:textId="639C8102"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Decoupling or Market Decoupling</w:t>
            </w:r>
          </w:p>
        </w:tc>
        <w:tc>
          <w:tcPr>
            <w:tcW w:w="7088" w:type="dxa"/>
            <w:shd w:val="clear" w:color="auto" w:fill="auto"/>
            <w:vAlign w:val="center"/>
          </w:tcPr>
          <w:p w14:paraId="1E68CCD3" w14:textId="060E1EFE" w:rsidR="000772C8" w:rsidRPr="00912E9B" w:rsidRDefault="000772C8" w:rsidP="00D40051">
            <w:pPr>
              <w:pStyle w:val="CERGlossaryDefinition"/>
              <w:rPr>
                <w:rFonts w:asciiTheme="minorHAnsi" w:hAnsiTheme="minorHAnsi" w:cstheme="minorHAnsi"/>
                <w:sz w:val="22"/>
                <w:szCs w:val="22"/>
              </w:rPr>
            </w:pPr>
            <w:r w:rsidRPr="00912E9B">
              <w:rPr>
                <w:rFonts w:asciiTheme="majorHAnsi" w:hAnsiTheme="majorHAnsi" w:cstheme="majorHAnsi"/>
                <w:sz w:val="22"/>
                <w:szCs w:val="22"/>
              </w:rPr>
              <w:t>A situation in which the Price Coupling process is interrupted and/or cancelled.</w:t>
            </w:r>
          </w:p>
        </w:tc>
      </w:tr>
      <w:tr w:rsidR="00912E9B" w:rsidRPr="00912E9B" w14:paraId="26011226" w14:textId="77777777" w:rsidTr="00D40051">
        <w:trPr>
          <w:cantSplit/>
        </w:trPr>
        <w:tc>
          <w:tcPr>
            <w:tcW w:w="2298" w:type="dxa"/>
            <w:shd w:val="clear" w:color="auto" w:fill="auto"/>
            <w:vAlign w:val="center"/>
          </w:tcPr>
          <w:p w14:paraId="7A3CD8A6" w14:textId="620737DC"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Dedicated Own Resources</w:t>
            </w:r>
          </w:p>
        </w:tc>
        <w:tc>
          <w:tcPr>
            <w:tcW w:w="7088" w:type="dxa"/>
            <w:shd w:val="clear" w:color="auto" w:fill="auto"/>
            <w:vAlign w:val="center"/>
          </w:tcPr>
          <w:p w14:paraId="0B506360" w14:textId="70ECFB35" w:rsidR="000772C8" w:rsidRPr="00912E9B" w:rsidRDefault="000772C8"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The pre-funded financial resources available to ALPEX as a </w:t>
            </w:r>
            <w:r w:rsidR="00FA39B4" w:rsidRPr="00912E9B">
              <w:rPr>
                <w:rFonts w:asciiTheme="minorHAnsi" w:hAnsiTheme="minorHAnsi" w:cstheme="minorHAnsi"/>
                <w:sz w:val="22"/>
                <w:szCs w:val="22"/>
              </w:rPr>
              <w:t>Central Counterparty</w:t>
            </w:r>
            <w:r w:rsidRPr="00912E9B">
              <w:rPr>
                <w:rFonts w:asciiTheme="minorHAnsi" w:hAnsiTheme="minorHAnsi" w:cstheme="minorHAnsi"/>
                <w:sz w:val="22"/>
                <w:szCs w:val="22"/>
              </w:rPr>
              <w:t xml:space="preserve"> to cover potential losses in the event of a Clearing Member's default, which exceed the losses that are covered by the margin provided by the defaulting Clearing Member and the Default Fund</w:t>
            </w:r>
            <w:r w:rsidR="00582D43" w:rsidRPr="00912E9B">
              <w:rPr>
                <w:rFonts w:asciiTheme="minorHAnsi" w:hAnsiTheme="minorHAnsi" w:cstheme="minorHAnsi"/>
                <w:sz w:val="22"/>
                <w:szCs w:val="22"/>
              </w:rPr>
              <w:t xml:space="preserve"> as well</w:t>
            </w:r>
            <w:r w:rsidRPr="00912E9B">
              <w:rPr>
                <w:rFonts w:asciiTheme="minorHAnsi" w:hAnsiTheme="minorHAnsi" w:cstheme="minorHAnsi"/>
                <w:sz w:val="22"/>
                <w:szCs w:val="22"/>
              </w:rPr>
              <w:t>, in accordance with the specific provisions of the Clearing and Settlement Procedures</w:t>
            </w:r>
          </w:p>
        </w:tc>
      </w:tr>
      <w:tr w:rsidR="00912E9B" w:rsidRPr="00912E9B" w14:paraId="7B2F14B8" w14:textId="77777777" w:rsidTr="00D40051">
        <w:trPr>
          <w:cantSplit/>
        </w:trPr>
        <w:tc>
          <w:tcPr>
            <w:tcW w:w="2298" w:type="dxa"/>
            <w:shd w:val="clear" w:color="auto" w:fill="auto"/>
            <w:vAlign w:val="center"/>
          </w:tcPr>
          <w:p w14:paraId="04767CAC"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Default </w:t>
            </w:r>
          </w:p>
        </w:tc>
        <w:tc>
          <w:tcPr>
            <w:tcW w:w="7088" w:type="dxa"/>
            <w:shd w:val="clear" w:color="auto" w:fill="auto"/>
            <w:vAlign w:val="center"/>
          </w:tcPr>
          <w:p w14:paraId="46C1282D" w14:textId="41E537B4"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when the Exchange Members</w:t>
            </w:r>
            <w:r w:rsidR="00BD7D33" w:rsidRPr="00912E9B">
              <w:rPr>
                <w:rFonts w:asciiTheme="majorHAnsi" w:hAnsiTheme="majorHAnsi" w:cstheme="majorHAnsi"/>
                <w:sz w:val="22"/>
                <w:szCs w:val="22"/>
              </w:rPr>
              <w:t xml:space="preserve"> and/or </w:t>
            </w:r>
            <w:r w:rsidRPr="00912E9B">
              <w:rPr>
                <w:rFonts w:asciiTheme="majorHAnsi" w:hAnsiTheme="majorHAnsi" w:cstheme="majorHAnsi"/>
                <w:sz w:val="22"/>
                <w:szCs w:val="22"/>
              </w:rPr>
              <w:t>Clearing Member is in material breach of any provision of ALPEX Rules</w:t>
            </w:r>
            <w:r w:rsidR="00011C9E" w:rsidRPr="00912E9B">
              <w:rPr>
                <w:rFonts w:asciiTheme="majorHAnsi" w:hAnsiTheme="majorHAnsi" w:cstheme="majorHAnsi"/>
                <w:sz w:val="22"/>
                <w:szCs w:val="22"/>
              </w:rPr>
              <w:t xml:space="preserve"> or the Procedures</w:t>
            </w:r>
            <w:r w:rsidRPr="00912E9B">
              <w:rPr>
                <w:rFonts w:asciiTheme="majorHAnsi" w:hAnsiTheme="majorHAnsi" w:cstheme="majorHAnsi"/>
                <w:sz w:val="22"/>
                <w:szCs w:val="22"/>
              </w:rPr>
              <w:t xml:space="preserve"> or the Exchange Membership Agreement, or the Clearing Member Framework Agreement and includes without limitation a failure to pay an amount of money or a breach of one or more of the conduct provisions of the aforementioned documents. </w:t>
            </w:r>
          </w:p>
        </w:tc>
      </w:tr>
      <w:tr w:rsidR="00912E9B" w:rsidRPr="00912E9B" w14:paraId="3A5C8742" w14:textId="77777777" w:rsidTr="00D40051">
        <w:trPr>
          <w:cantSplit/>
        </w:trPr>
        <w:tc>
          <w:tcPr>
            <w:tcW w:w="2298" w:type="dxa"/>
            <w:shd w:val="clear" w:color="auto" w:fill="auto"/>
            <w:vAlign w:val="center"/>
          </w:tcPr>
          <w:p w14:paraId="3D7DB138" w14:textId="59C9B0BF"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lastRenderedPageBreak/>
              <w:t>Default Fund</w:t>
            </w:r>
          </w:p>
        </w:tc>
        <w:tc>
          <w:tcPr>
            <w:tcW w:w="7088" w:type="dxa"/>
            <w:shd w:val="clear" w:color="auto" w:fill="auto"/>
            <w:vAlign w:val="center"/>
          </w:tcPr>
          <w:p w14:paraId="1A048484" w14:textId="115CC47B" w:rsidR="000772C8" w:rsidRPr="00912E9B" w:rsidRDefault="000772C8"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The Default Fund set up by ALPEX to cover the risks arising from the Clearing activities that it performs as a Central Counterpart in accordance the specific provisions of the Clearing and Settlement Procedures, including Chapter E. </w:t>
            </w:r>
          </w:p>
        </w:tc>
      </w:tr>
      <w:tr w:rsidR="00912E9B" w:rsidRPr="00912E9B" w14:paraId="5E354D62" w14:textId="77777777" w:rsidTr="00D40051">
        <w:trPr>
          <w:cantSplit/>
        </w:trPr>
        <w:tc>
          <w:tcPr>
            <w:tcW w:w="2298" w:type="dxa"/>
            <w:shd w:val="clear" w:color="auto" w:fill="auto"/>
            <w:vAlign w:val="center"/>
          </w:tcPr>
          <w:p w14:paraId="583AD6E5"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Default Notice </w:t>
            </w:r>
          </w:p>
        </w:tc>
        <w:tc>
          <w:tcPr>
            <w:tcW w:w="7088" w:type="dxa"/>
            <w:shd w:val="clear" w:color="auto" w:fill="auto"/>
            <w:vAlign w:val="center"/>
          </w:tcPr>
          <w:p w14:paraId="6452F95D" w14:textId="61429863"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notice that ALPEX shall issue to the defaulting Exchange Member</w:t>
            </w:r>
            <w:r w:rsidR="00036124" w:rsidRPr="00912E9B">
              <w:rPr>
                <w:rFonts w:asciiTheme="majorHAnsi" w:hAnsiTheme="majorHAnsi" w:cstheme="majorHAnsi"/>
                <w:sz w:val="22"/>
                <w:szCs w:val="22"/>
              </w:rPr>
              <w:t xml:space="preserve"> and/or </w:t>
            </w:r>
            <w:r w:rsidRPr="00912E9B">
              <w:rPr>
                <w:rFonts w:asciiTheme="majorHAnsi" w:hAnsiTheme="majorHAnsi" w:cstheme="majorHAnsi"/>
                <w:sz w:val="22"/>
                <w:szCs w:val="22"/>
              </w:rPr>
              <w:t>Clearing Member specifying the nature of Default.</w:t>
            </w:r>
          </w:p>
        </w:tc>
      </w:tr>
      <w:tr w:rsidR="00912E9B" w:rsidRPr="00912E9B" w14:paraId="24CBEA42" w14:textId="77777777" w:rsidTr="00D40051">
        <w:trPr>
          <w:cantSplit/>
        </w:trPr>
        <w:tc>
          <w:tcPr>
            <w:tcW w:w="2298" w:type="dxa"/>
            <w:shd w:val="clear" w:color="auto" w:fill="auto"/>
            <w:vAlign w:val="center"/>
          </w:tcPr>
          <w:p w14:paraId="76CB45F3" w14:textId="7172C468"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t>Defaulting Party</w:t>
            </w:r>
          </w:p>
        </w:tc>
        <w:tc>
          <w:tcPr>
            <w:tcW w:w="7088" w:type="dxa"/>
            <w:shd w:val="clear" w:color="auto" w:fill="auto"/>
            <w:vAlign w:val="center"/>
          </w:tcPr>
          <w:p w14:paraId="6F477E79" w14:textId="5AE5B3E1" w:rsidR="000772C8" w:rsidRPr="00912E9B" w:rsidRDefault="000772C8" w:rsidP="00D40051">
            <w:pPr>
              <w:pStyle w:val="CERGlossaryDefinition"/>
              <w:rPr>
                <w:rFonts w:asciiTheme="majorHAnsi" w:hAnsiTheme="majorHAnsi" w:cstheme="majorHAnsi"/>
                <w:sz w:val="22"/>
                <w:szCs w:val="22"/>
              </w:rPr>
            </w:pPr>
            <w:r w:rsidRPr="00912E9B">
              <w:rPr>
                <w:rFonts w:asciiTheme="minorHAnsi" w:hAnsiTheme="minorHAnsi" w:cstheme="minorHAnsi"/>
                <w:sz w:val="22"/>
                <w:szCs w:val="22"/>
              </w:rPr>
              <w:t>means a Party that is in Default.</w:t>
            </w:r>
          </w:p>
        </w:tc>
      </w:tr>
      <w:tr w:rsidR="00912E9B" w:rsidRPr="00912E9B" w14:paraId="61B00CB6" w14:textId="77777777" w:rsidTr="00D40051">
        <w:trPr>
          <w:cantSplit/>
        </w:trPr>
        <w:tc>
          <w:tcPr>
            <w:tcW w:w="2298" w:type="dxa"/>
            <w:shd w:val="clear" w:color="auto" w:fill="auto"/>
            <w:vAlign w:val="center"/>
          </w:tcPr>
          <w:p w14:paraId="45F08273" w14:textId="49D453E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Delivery Day</w:t>
            </w:r>
          </w:p>
        </w:tc>
        <w:tc>
          <w:tcPr>
            <w:tcW w:w="7088" w:type="dxa"/>
            <w:shd w:val="clear" w:color="auto" w:fill="auto"/>
            <w:vAlign w:val="center"/>
          </w:tcPr>
          <w:p w14:paraId="36C9402F" w14:textId="61908148"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continuous series of Delivery Periods, which starts at 00:00 CET hours on a calendar day and ends at 24:00 CET hours on the same calendar day.</w:t>
            </w:r>
          </w:p>
        </w:tc>
      </w:tr>
      <w:tr w:rsidR="00912E9B" w:rsidRPr="00912E9B" w14:paraId="00C9BFC3" w14:textId="77777777" w:rsidTr="00D40051">
        <w:trPr>
          <w:cantSplit/>
        </w:trPr>
        <w:tc>
          <w:tcPr>
            <w:tcW w:w="2298" w:type="dxa"/>
            <w:shd w:val="clear" w:color="auto" w:fill="auto"/>
            <w:vAlign w:val="center"/>
          </w:tcPr>
          <w:p w14:paraId="55C19B91" w14:textId="047B9ABF" w:rsidR="000772C8" w:rsidRPr="00912E9B" w:rsidRDefault="000772C8" w:rsidP="000772C8">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rPr>
              <w:t>Direct Clearing Member</w:t>
            </w:r>
          </w:p>
        </w:tc>
        <w:tc>
          <w:tcPr>
            <w:tcW w:w="7088" w:type="dxa"/>
            <w:shd w:val="clear" w:color="auto" w:fill="auto"/>
            <w:vAlign w:val="center"/>
          </w:tcPr>
          <w:p w14:paraId="7F79DABF" w14:textId="023E1C5B"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Clearing Member that is entitled to clear the Transactions carried out by itself as an Exchange Member in Electricity Markets of ALPEX in accordance with the Clearing and Settlement Procedures.</w:t>
            </w:r>
          </w:p>
        </w:tc>
      </w:tr>
      <w:tr w:rsidR="00912E9B" w:rsidRPr="00912E9B" w14:paraId="2C514275" w14:textId="77777777" w:rsidTr="00D40051">
        <w:trPr>
          <w:cantSplit/>
        </w:trPr>
        <w:tc>
          <w:tcPr>
            <w:tcW w:w="2298" w:type="dxa"/>
            <w:shd w:val="clear" w:color="auto" w:fill="auto"/>
            <w:vAlign w:val="center"/>
          </w:tcPr>
          <w:p w14:paraId="35B1C262"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Disclosing Party</w:t>
            </w:r>
          </w:p>
        </w:tc>
        <w:tc>
          <w:tcPr>
            <w:tcW w:w="7088" w:type="dxa"/>
            <w:shd w:val="clear" w:color="auto" w:fill="auto"/>
            <w:vAlign w:val="center"/>
          </w:tcPr>
          <w:p w14:paraId="7F7AFD38" w14:textId="2E50C031"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Party disclosing Confidential Information. </w:t>
            </w:r>
          </w:p>
        </w:tc>
      </w:tr>
      <w:tr w:rsidR="00912E9B" w:rsidRPr="00912E9B" w14:paraId="38E52B37" w14:textId="77777777" w:rsidTr="00D40051">
        <w:trPr>
          <w:cantSplit/>
        </w:trPr>
        <w:tc>
          <w:tcPr>
            <w:tcW w:w="2298" w:type="dxa"/>
            <w:shd w:val="clear" w:color="auto" w:fill="auto"/>
            <w:vAlign w:val="center"/>
          </w:tcPr>
          <w:p w14:paraId="446F58BF"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Dispute</w:t>
            </w:r>
          </w:p>
        </w:tc>
        <w:tc>
          <w:tcPr>
            <w:tcW w:w="7088" w:type="dxa"/>
            <w:shd w:val="clear" w:color="auto" w:fill="auto"/>
            <w:vAlign w:val="center"/>
          </w:tcPr>
          <w:p w14:paraId="7EAC73D8" w14:textId="14C2FDF8"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any claim, dispute or difference of whatever nature howsoever arising under, out of or in relation to ALPEX Rules, </w:t>
            </w:r>
            <w:r w:rsidR="00B401C8" w:rsidRPr="00912E9B">
              <w:rPr>
                <w:rFonts w:asciiTheme="majorHAnsi" w:hAnsiTheme="majorHAnsi" w:cstheme="majorHAnsi"/>
                <w:sz w:val="22"/>
                <w:szCs w:val="22"/>
              </w:rPr>
              <w:t>or the Procedures</w:t>
            </w:r>
            <w:r w:rsidR="002829A1" w:rsidRPr="00912E9B">
              <w:rPr>
                <w:rFonts w:asciiTheme="majorHAnsi" w:hAnsiTheme="majorHAnsi" w:cstheme="majorHAnsi"/>
                <w:sz w:val="22"/>
                <w:szCs w:val="22"/>
              </w:rPr>
              <w:t xml:space="preserve"> or </w:t>
            </w:r>
            <w:r w:rsidRPr="00912E9B">
              <w:rPr>
                <w:rFonts w:asciiTheme="majorHAnsi" w:hAnsiTheme="majorHAnsi" w:cstheme="majorHAnsi"/>
                <w:sz w:val="22"/>
                <w:szCs w:val="22"/>
              </w:rPr>
              <w:t>the Exchange Membership Agreement or the Clearing Member Framework Agreement.</w:t>
            </w:r>
          </w:p>
        </w:tc>
      </w:tr>
      <w:tr w:rsidR="00912E9B" w:rsidRPr="00912E9B" w14:paraId="772EF0DA" w14:textId="77777777" w:rsidTr="00D40051">
        <w:trPr>
          <w:cantSplit/>
        </w:trPr>
        <w:tc>
          <w:tcPr>
            <w:tcW w:w="2298" w:type="dxa"/>
            <w:shd w:val="clear" w:color="auto" w:fill="auto"/>
            <w:vAlign w:val="center"/>
          </w:tcPr>
          <w:p w14:paraId="4AB7BFA9"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Dispute Process Timetable</w:t>
            </w:r>
          </w:p>
        </w:tc>
        <w:tc>
          <w:tcPr>
            <w:tcW w:w="7088" w:type="dxa"/>
            <w:shd w:val="clear" w:color="auto" w:fill="auto"/>
            <w:vAlign w:val="center"/>
          </w:tcPr>
          <w:p w14:paraId="064098B4" w14:textId="50058976"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timetable determined by ALPEX from time to time which, amongst other things, specify deadlines and timeframes for taking actions in relation to a Dispute.</w:t>
            </w:r>
          </w:p>
        </w:tc>
      </w:tr>
      <w:tr w:rsidR="00912E9B" w:rsidRPr="00912E9B" w14:paraId="32EB8961" w14:textId="77777777" w:rsidTr="00D40051">
        <w:trPr>
          <w:cantSplit/>
        </w:trPr>
        <w:tc>
          <w:tcPr>
            <w:tcW w:w="2298" w:type="dxa"/>
            <w:tcBorders>
              <w:bottom w:val="single" w:sz="4" w:space="0" w:color="auto"/>
            </w:tcBorders>
            <w:shd w:val="clear" w:color="auto" w:fill="auto"/>
            <w:vAlign w:val="center"/>
          </w:tcPr>
          <w:p w14:paraId="2785E8C3"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Dispute Resolution Process</w:t>
            </w:r>
          </w:p>
        </w:tc>
        <w:tc>
          <w:tcPr>
            <w:tcW w:w="7088" w:type="dxa"/>
            <w:tcBorders>
              <w:bottom w:val="single" w:sz="4" w:space="0" w:color="auto"/>
            </w:tcBorders>
            <w:shd w:val="clear" w:color="auto" w:fill="auto"/>
            <w:vAlign w:val="center"/>
          </w:tcPr>
          <w:p w14:paraId="573F4FF7" w14:textId="45570BC5"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resolution process between Exchange Members/Clearing Members and ALPEX, in relation to ALPEX Rules,</w:t>
            </w:r>
            <w:r w:rsidR="00710ABC" w:rsidRPr="00912E9B">
              <w:rPr>
                <w:rFonts w:asciiTheme="majorHAnsi" w:hAnsiTheme="majorHAnsi" w:cstheme="majorHAnsi"/>
                <w:sz w:val="22"/>
                <w:szCs w:val="22"/>
              </w:rPr>
              <w:t xml:space="preserve"> or the Procedures</w:t>
            </w:r>
            <w:r w:rsidRPr="00912E9B">
              <w:rPr>
                <w:rFonts w:asciiTheme="majorHAnsi" w:hAnsiTheme="majorHAnsi" w:cstheme="majorHAnsi"/>
                <w:sz w:val="22"/>
                <w:szCs w:val="22"/>
              </w:rPr>
              <w:t xml:space="preserve"> </w:t>
            </w:r>
            <w:r w:rsidR="00710ABC" w:rsidRPr="00912E9B">
              <w:rPr>
                <w:rFonts w:asciiTheme="majorHAnsi" w:hAnsiTheme="majorHAnsi" w:cstheme="majorHAnsi"/>
                <w:sz w:val="22"/>
                <w:szCs w:val="22"/>
              </w:rPr>
              <w:t xml:space="preserve">or </w:t>
            </w:r>
            <w:r w:rsidRPr="00912E9B">
              <w:rPr>
                <w:rFonts w:asciiTheme="majorHAnsi" w:hAnsiTheme="majorHAnsi" w:cstheme="majorHAnsi"/>
                <w:sz w:val="22"/>
                <w:szCs w:val="22"/>
              </w:rPr>
              <w:t>the Exchange Membership Agreement or the Clearing Member Framework Agreement for settling a Dispute.</w:t>
            </w:r>
          </w:p>
        </w:tc>
      </w:tr>
      <w:tr w:rsidR="00912E9B" w:rsidRPr="00912E9B" w14:paraId="21710AFD" w14:textId="77777777" w:rsidTr="00D40051">
        <w:trPr>
          <w:cantSplit/>
        </w:trPr>
        <w:tc>
          <w:tcPr>
            <w:tcW w:w="2298" w:type="dxa"/>
            <w:tcBorders>
              <w:bottom w:val="single" w:sz="4" w:space="0" w:color="auto"/>
            </w:tcBorders>
            <w:shd w:val="clear" w:color="auto" w:fill="auto"/>
            <w:vAlign w:val="center"/>
          </w:tcPr>
          <w:p w14:paraId="11020F21" w14:textId="63471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Disputing Party</w:t>
            </w:r>
          </w:p>
        </w:tc>
        <w:tc>
          <w:tcPr>
            <w:tcW w:w="7088" w:type="dxa"/>
            <w:tcBorders>
              <w:bottom w:val="single" w:sz="4" w:space="0" w:color="auto"/>
            </w:tcBorders>
            <w:shd w:val="clear" w:color="auto" w:fill="auto"/>
            <w:vAlign w:val="center"/>
          </w:tcPr>
          <w:p w14:paraId="170B2401" w14:textId="6D4DF89A" w:rsidR="000772C8" w:rsidRPr="00912E9B" w:rsidRDefault="000772C8"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any party to a Dispute.</w:t>
            </w:r>
          </w:p>
        </w:tc>
      </w:tr>
      <w:tr w:rsidR="00912E9B" w:rsidRPr="00912E9B" w14:paraId="546CB6EC" w14:textId="77777777" w:rsidTr="005F2CCD">
        <w:trPr>
          <w:cantSplit/>
        </w:trPr>
        <w:tc>
          <w:tcPr>
            <w:tcW w:w="2298" w:type="dxa"/>
            <w:tcBorders>
              <w:top w:val="single" w:sz="4" w:space="0" w:color="auto"/>
              <w:left w:val="nil"/>
              <w:bottom w:val="single" w:sz="4" w:space="0" w:color="auto"/>
              <w:right w:val="nil"/>
            </w:tcBorders>
            <w:shd w:val="clear" w:color="auto" w:fill="auto"/>
            <w:vAlign w:val="center"/>
          </w:tcPr>
          <w:p w14:paraId="254B6E0D" w14:textId="77777777" w:rsidR="0066762D" w:rsidRPr="00912E9B" w:rsidRDefault="0066762D" w:rsidP="000772C8">
            <w:pPr>
              <w:pStyle w:val="CERGlossaryTerm"/>
              <w:rPr>
                <w:rFonts w:asciiTheme="majorHAnsi" w:hAnsiTheme="majorHAnsi" w:cstheme="majorHAnsi"/>
                <w:sz w:val="22"/>
                <w:szCs w:val="22"/>
              </w:rPr>
            </w:pPr>
          </w:p>
          <w:p w14:paraId="43AD740B" w14:textId="5D50FAA6" w:rsidR="005F2CCD" w:rsidRPr="00912E9B" w:rsidRDefault="005F2CCD"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D to</w:t>
            </w:r>
            <w:r w:rsidR="001011A0" w:rsidRPr="00912E9B">
              <w:rPr>
                <w:rFonts w:asciiTheme="majorHAnsi" w:hAnsiTheme="majorHAnsi" w:cstheme="majorHAnsi"/>
                <w:sz w:val="22"/>
                <w:szCs w:val="22"/>
              </w:rPr>
              <w:t xml:space="preserve"> L</w:t>
            </w:r>
          </w:p>
        </w:tc>
        <w:tc>
          <w:tcPr>
            <w:tcW w:w="7088" w:type="dxa"/>
            <w:tcBorders>
              <w:top w:val="single" w:sz="4" w:space="0" w:color="auto"/>
              <w:left w:val="nil"/>
              <w:bottom w:val="single" w:sz="4" w:space="0" w:color="auto"/>
              <w:right w:val="nil"/>
            </w:tcBorders>
            <w:shd w:val="clear" w:color="auto" w:fill="auto"/>
          </w:tcPr>
          <w:p w14:paraId="7049A5DB" w14:textId="77777777" w:rsidR="0066762D" w:rsidRPr="00912E9B" w:rsidRDefault="0066762D" w:rsidP="000772C8">
            <w:pPr>
              <w:pStyle w:val="CERGlossaryDefinition"/>
              <w:rPr>
                <w:rFonts w:asciiTheme="majorHAnsi" w:hAnsiTheme="majorHAnsi" w:cstheme="majorHAnsi"/>
                <w:sz w:val="22"/>
                <w:szCs w:val="22"/>
              </w:rPr>
            </w:pPr>
          </w:p>
        </w:tc>
      </w:tr>
      <w:tr w:rsidR="00912E9B" w:rsidRPr="00912E9B" w14:paraId="17BDA063" w14:textId="77777777" w:rsidTr="005F2CCD">
        <w:trPr>
          <w:cantSplit/>
        </w:trPr>
        <w:tc>
          <w:tcPr>
            <w:tcW w:w="2298" w:type="dxa"/>
            <w:tcBorders>
              <w:top w:val="single" w:sz="4" w:space="0" w:color="auto"/>
            </w:tcBorders>
            <w:shd w:val="clear" w:color="auto" w:fill="auto"/>
            <w:vAlign w:val="center"/>
          </w:tcPr>
          <w:p w14:paraId="5375BC87" w14:textId="31B10B3B"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Effective Date</w:t>
            </w:r>
          </w:p>
        </w:tc>
        <w:tc>
          <w:tcPr>
            <w:tcW w:w="7088" w:type="dxa"/>
            <w:tcBorders>
              <w:top w:val="single" w:sz="4" w:space="0" w:color="auto"/>
            </w:tcBorders>
            <w:shd w:val="clear" w:color="auto" w:fill="auto"/>
          </w:tcPr>
          <w:p w14:paraId="66CE69CC" w14:textId="5DA3E5D2"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date on which an Agreement or document enters into force.</w:t>
            </w:r>
          </w:p>
        </w:tc>
      </w:tr>
      <w:tr w:rsidR="00912E9B" w:rsidRPr="00912E9B" w14:paraId="1B02C5C3" w14:textId="77777777" w:rsidTr="1CA2DFCF">
        <w:trPr>
          <w:cantSplit/>
        </w:trPr>
        <w:tc>
          <w:tcPr>
            <w:tcW w:w="2298" w:type="dxa"/>
            <w:shd w:val="clear" w:color="auto" w:fill="auto"/>
            <w:vAlign w:val="center"/>
          </w:tcPr>
          <w:p w14:paraId="1DAD7811" w14:textId="5E54D1E7" w:rsidR="000772C8" w:rsidRPr="00912E9B" w:rsidRDefault="000772C8" w:rsidP="002217D8">
            <w:pPr>
              <w:pStyle w:val="CERGlossaryTerm"/>
              <w:rPr>
                <w:rFonts w:asciiTheme="majorHAnsi" w:hAnsiTheme="majorHAnsi" w:cstheme="majorHAnsi"/>
                <w:sz w:val="22"/>
                <w:szCs w:val="22"/>
              </w:rPr>
            </w:pPr>
            <w:r w:rsidRPr="00912E9B">
              <w:rPr>
                <w:rFonts w:asciiTheme="minorHAnsi" w:hAnsiTheme="minorHAnsi" w:cstheme="minorHAnsi"/>
                <w:sz w:val="22"/>
                <w:szCs w:val="22"/>
              </w:rPr>
              <w:t>EIC Code (Energy Identification Code)</w:t>
            </w:r>
          </w:p>
        </w:tc>
        <w:tc>
          <w:tcPr>
            <w:tcW w:w="7088" w:type="dxa"/>
            <w:shd w:val="clear" w:color="auto" w:fill="auto"/>
          </w:tcPr>
          <w:p w14:paraId="22E3DF85" w14:textId="6C1BBA28"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A unique code identifying the Exchange Member in all its trades on the Electricity Market.</w:t>
            </w:r>
          </w:p>
        </w:tc>
      </w:tr>
      <w:tr w:rsidR="00912E9B" w:rsidRPr="00912E9B" w14:paraId="04F4D398" w14:textId="77777777" w:rsidTr="1CA2DFCF">
        <w:trPr>
          <w:cantSplit/>
        </w:trPr>
        <w:tc>
          <w:tcPr>
            <w:tcW w:w="2298" w:type="dxa"/>
            <w:shd w:val="clear" w:color="auto" w:fill="auto"/>
            <w:vAlign w:val="center"/>
          </w:tcPr>
          <w:p w14:paraId="5AEACC21" w14:textId="128DF3C2"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Electricity Market</w:t>
            </w:r>
          </w:p>
        </w:tc>
        <w:tc>
          <w:tcPr>
            <w:tcW w:w="7088" w:type="dxa"/>
            <w:shd w:val="clear" w:color="auto" w:fill="auto"/>
          </w:tcPr>
          <w:p w14:paraId="1A79AE52" w14:textId="1AA3400F"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Include three markets as follows:</w:t>
            </w:r>
          </w:p>
          <w:p w14:paraId="7FA28F4D" w14:textId="032733B7" w:rsidR="000772C8" w:rsidRPr="00912E9B" w:rsidRDefault="000772C8" w:rsidP="000772C8">
            <w:pPr>
              <w:pStyle w:val="CERGlossaryDefinition"/>
              <w:numPr>
                <w:ilvl w:val="0"/>
                <w:numId w:val="48"/>
              </w:numPr>
              <w:rPr>
                <w:rFonts w:asciiTheme="majorHAnsi" w:hAnsiTheme="majorHAnsi" w:cstheme="majorHAnsi"/>
                <w:sz w:val="22"/>
                <w:szCs w:val="22"/>
              </w:rPr>
            </w:pPr>
            <w:r w:rsidRPr="00912E9B">
              <w:rPr>
                <w:rFonts w:asciiTheme="majorHAnsi" w:hAnsiTheme="majorHAnsi" w:cstheme="majorHAnsi"/>
                <w:sz w:val="22"/>
                <w:szCs w:val="22"/>
              </w:rPr>
              <w:t>Capacity Allocation Market</w:t>
            </w:r>
            <w:r w:rsidRPr="00912E9B" w:rsidDel="00326D6C">
              <w:rPr>
                <w:rFonts w:asciiTheme="majorHAnsi" w:hAnsiTheme="majorHAnsi" w:cstheme="majorHAnsi"/>
                <w:sz w:val="22"/>
                <w:szCs w:val="22"/>
              </w:rPr>
              <w:t xml:space="preserve"> </w:t>
            </w:r>
          </w:p>
          <w:p w14:paraId="11C5AF91" w14:textId="11F7B725" w:rsidR="000772C8" w:rsidRPr="00912E9B" w:rsidRDefault="000772C8" w:rsidP="000772C8">
            <w:pPr>
              <w:pStyle w:val="CERGlossaryDefinition"/>
              <w:numPr>
                <w:ilvl w:val="0"/>
                <w:numId w:val="48"/>
              </w:numPr>
              <w:rPr>
                <w:rFonts w:asciiTheme="majorHAnsi" w:hAnsiTheme="majorHAnsi" w:cstheme="majorHAnsi"/>
                <w:sz w:val="22"/>
                <w:szCs w:val="22"/>
              </w:rPr>
            </w:pPr>
            <w:r w:rsidRPr="00912E9B">
              <w:rPr>
                <w:rFonts w:asciiTheme="majorHAnsi" w:hAnsiTheme="majorHAnsi" w:cstheme="majorHAnsi"/>
                <w:sz w:val="22"/>
                <w:szCs w:val="22"/>
              </w:rPr>
              <w:t>Wholesale Organized Market</w:t>
            </w:r>
          </w:p>
          <w:p w14:paraId="7CA5EFFE" w14:textId="0CC69CD2" w:rsidR="000772C8" w:rsidRPr="00912E9B" w:rsidRDefault="000772C8" w:rsidP="000772C8">
            <w:pPr>
              <w:pStyle w:val="CERGlossaryDefinition"/>
              <w:numPr>
                <w:ilvl w:val="0"/>
                <w:numId w:val="48"/>
              </w:numPr>
              <w:rPr>
                <w:rFonts w:asciiTheme="majorHAnsi" w:hAnsiTheme="majorHAnsi" w:cstheme="majorHAnsi"/>
                <w:sz w:val="22"/>
                <w:szCs w:val="22"/>
              </w:rPr>
            </w:pPr>
            <w:r w:rsidRPr="00912E9B">
              <w:rPr>
                <w:rFonts w:asciiTheme="majorHAnsi" w:hAnsiTheme="majorHAnsi" w:cstheme="majorHAnsi"/>
                <w:sz w:val="22"/>
                <w:szCs w:val="22"/>
              </w:rPr>
              <w:t>Balancing Market</w:t>
            </w:r>
          </w:p>
        </w:tc>
      </w:tr>
      <w:tr w:rsidR="00912E9B" w:rsidRPr="00912E9B" w14:paraId="76922353" w14:textId="77777777" w:rsidTr="1CA2DFCF">
        <w:trPr>
          <w:cantSplit/>
        </w:trPr>
        <w:tc>
          <w:tcPr>
            <w:tcW w:w="2298" w:type="dxa"/>
            <w:shd w:val="clear" w:color="auto" w:fill="auto"/>
            <w:vAlign w:val="center"/>
          </w:tcPr>
          <w:p w14:paraId="4716C865" w14:textId="28960933"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Electricity Market Rules</w:t>
            </w:r>
          </w:p>
        </w:tc>
        <w:tc>
          <w:tcPr>
            <w:tcW w:w="7088" w:type="dxa"/>
            <w:shd w:val="clear" w:color="auto" w:fill="auto"/>
          </w:tcPr>
          <w:p w14:paraId="5012A6B4" w14:textId="1EEBBFB2"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norms that regulate electricity trade between market participants and relations between parties of the electricity market, Market Operator and Transmission System Operator, with the purpose of maintaining the physical balance in the market</w:t>
            </w:r>
          </w:p>
        </w:tc>
      </w:tr>
      <w:tr w:rsidR="00912E9B" w:rsidRPr="00912E9B" w14:paraId="68931C81" w14:textId="77777777" w:rsidTr="00D40051">
        <w:trPr>
          <w:cantSplit/>
        </w:trPr>
        <w:tc>
          <w:tcPr>
            <w:tcW w:w="2298" w:type="dxa"/>
            <w:shd w:val="clear" w:color="auto" w:fill="auto"/>
            <w:vAlign w:val="center"/>
          </w:tcPr>
          <w:p w14:paraId="1E1A5173" w14:textId="3AADA8B4"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Electricity Transaction or Transaction</w:t>
            </w:r>
          </w:p>
        </w:tc>
        <w:tc>
          <w:tcPr>
            <w:tcW w:w="7088" w:type="dxa"/>
            <w:shd w:val="clear" w:color="auto" w:fill="auto"/>
            <w:vAlign w:val="center"/>
          </w:tcPr>
          <w:p w14:paraId="72B36E15" w14:textId="0D978E4D" w:rsidR="000772C8" w:rsidRPr="00912E9B" w:rsidRDefault="000772C8"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transactions in Products which are concluded in ALPEX Markets in accordance with the terms of ALPEX Rules</w:t>
            </w:r>
            <w:r w:rsidR="00681DDD" w:rsidRPr="00912E9B">
              <w:rPr>
                <w:rFonts w:asciiTheme="majorHAnsi" w:hAnsiTheme="majorHAnsi" w:cstheme="majorHAnsi"/>
                <w:sz w:val="22"/>
                <w:szCs w:val="22"/>
              </w:rPr>
              <w:t xml:space="preserve"> and the </w:t>
            </w:r>
            <w:proofErr w:type="spellStart"/>
            <w:r w:rsidR="00681DDD" w:rsidRPr="00912E9B">
              <w:rPr>
                <w:rFonts w:asciiTheme="majorHAnsi" w:hAnsiTheme="majorHAnsi" w:cstheme="majorHAnsi"/>
                <w:sz w:val="22"/>
                <w:szCs w:val="22"/>
              </w:rPr>
              <w:t>Procedurat</w:t>
            </w:r>
            <w:proofErr w:type="spellEnd"/>
            <w:r w:rsidRPr="00912E9B">
              <w:rPr>
                <w:rFonts w:asciiTheme="majorHAnsi" w:hAnsiTheme="majorHAnsi" w:cstheme="majorHAnsi"/>
                <w:sz w:val="22"/>
                <w:szCs w:val="22"/>
              </w:rPr>
              <w:t>.</w:t>
            </w:r>
          </w:p>
        </w:tc>
      </w:tr>
      <w:tr w:rsidR="00912E9B" w:rsidRPr="00912E9B" w14:paraId="32431506" w14:textId="77777777" w:rsidTr="1CA2DFCF">
        <w:trPr>
          <w:cantSplit/>
        </w:trPr>
        <w:tc>
          <w:tcPr>
            <w:tcW w:w="2298" w:type="dxa"/>
            <w:shd w:val="clear" w:color="auto" w:fill="auto"/>
            <w:vAlign w:val="center"/>
          </w:tcPr>
          <w:p w14:paraId="108FBBD3" w14:textId="4754721A"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Electronic Medium Nominated</w:t>
            </w:r>
          </w:p>
        </w:tc>
        <w:tc>
          <w:tcPr>
            <w:tcW w:w="7088" w:type="dxa"/>
            <w:shd w:val="clear" w:color="auto" w:fill="auto"/>
          </w:tcPr>
          <w:p w14:paraId="752547DE" w14:textId="5533EE1E"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an electronic medium provided by ALPEX </w:t>
            </w:r>
            <w:proofErr w:type="gramStart"/>
            <w:r w:rsidRPr="00912E9B">
              <w:rPr>
                <w:rFonts w:asciiTheme="majorHAnsi" w:hAnsiTheme="majorHAnsi" w:cstheme="majorHAnsi"/>
                <w:sz w:val="22"/>
                <w:szCs w:val="22"/>
              </w:rPr>
              <w:t>in order to</w:t>
            </w:r>
            <w:proofErr w:type="gramEnd"/>
            <w:r w:rsidRPr="00912E9B">
              <w:rPr>
                <w:rFonts w:asciiTheme="majorHAnsi" w:hAnsiTheme="majorHAnsi" w:cstheme="majorHAnsi"/>
                <w:sz w:val="22"/>
                <w:szCs w:val="22"/>
              </w:rPr>
              <w:t xml:space="preserve"> establish the communication with Exchange Member</w:t>
            </w:r>
            <w:r w:rsidR="00BF6EA6" w:rsidRPr="00912E9B">
              <w:rPr>
                <w:rFonts w:asciiTheme="majorHAnsi" w:hAnsiTheme="majorHAnsi" w:cstheme="majorHAnsi"/>
                <w:sz w:val="22"/>
                <w:szCs w:val="22"/>
              </w:rPr>
              <w:t xml:space="preserve"> and/or Clearing Members</w:t>
            </w:r>
            <w:r w:rsidRPr="00912E9B">
              <w:rPr>
                <w:rFonts w:asciiTheme="majorHAnsi" w:hAnsiTheme="majorHAnsi" w:cstheme="majorHAnsi"/>
                <w:sz w:val="22"/>
                <w:szCs w:val="22"/>
              </w:rPr>
              <w:t>.</w:t>
            </w:r>
          </w:p>
        </w:tc>
      </w:tr>
      <w:tr w:rsidR="00912E9B" w:rsidRPr="00912E9B" w14:paraId="13E94757" w14:textId="77777777" w:rsidTr="1CA2DFCF">
        <w:trPr>
          <w:cantSplit/>
        </w:trPr>
        <w:tc>
          <w:tcPr>
            <w:tcW w:w="2298" w:type="dxa"/>
            <w:shd w:val="clear" w:color="auto" w:fill="auto"/>
            <w:vAlign w:val="center"/>
          </w:tcPr>
          <w:p w14:paraId="2AF39E0D" w14:textId="62D4116F" w:rsidR="000772C8" w:rsidRPr="00912E9B" w:rsidRDefault="000772C8" w:rsidP="000772C8">
            <w:pPr>
              <w:pStyle w:val="CERGlossaryTerm"/>
              <w:rPr>
                <w:rFonts w:asciiTheme="majorHAnsi" w:hAnsiTheme="majorHAnsi" w:cstheme="majorBidi"/>
                <w:sz w:val="22"/>
                <w:szCs w:val="22"/>
              </w:rPr>
            </w:pPr>
            <w:r w:rsidRPr="00912E9B">
              <w:rPr>
                <w:rFonts w:asciiTheme="minorHAnsi" w:hAnsiTheme="minorHAnsi" w:cstheme="minorHAnsi"/>
                <w:sz w:val="22"/>
                <w:szCs w:val="22"/>
              </w:rPr>
              <w:t>EMCS</w:t>
            </w:r>
            <w:r w:rsidR="009B6FA0" w:rsidRPr="00912E9B">
              <w:rPr>
                <w:rFonts w:asciiTheme="minorHAnsi" w:hAnsiTheme="minorHAnsi" w:cstheme="minorHAnsi"/>
                <w:sz w:val="22"/>
                <w:szCs w:val="22"/>
              </w:rPr>
              <w:t>- Energy Market Clearing System</w:t>
            </w:r>
          </w:p>
        </w:tc>
        <w:tc>
          <w:tcPr>
            <w:tcW w:w="7088" w:type="dxa"/>
            <w:shd w:val="clear" w:color="auto" w:fill="auto"/>
          </w:tcPr>
          <w:p w14:paraId="5F03127E" w14:textId="31D561AD"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Energy Market Clearing System as described in the Clearing and Settlement Procedures.</w:t>
            </w:r>
          </w:p>
        </w:tc>
      </w:tr>
      <w:tr w:rsidR="00912E9B" w:rsidRPr="00912E9B" w14:paraId="28BEFBBA" w14:textId="77777777" w:rsidTr="1CA2DFCF">
        <w:trPr>
          <w:cantSplit/>
        </w:trPr>
        <w:tc>
          <w:tcPr>
            <w:tcW w:w="2298" w:type="dxa"/>
            <w:shd w:val="clear" w:color="auto" w:fill="auto"/>
            <w:vAlign w:val="center"/>
          </w:tcPr>
          <w:p w14:paraId="36EAD7C5" w14:textId="179D4290" w:rsidR="000772C8" w:rsidRPr="00912E9B" w:rsidRDefault="000772C8" w:rsidP="000772C8">
            <w:pPr>
              <w:pStyle w:val="CERGlossaryTerm"/>
              <w:rPr>
                <w:rFonts w:asciiTheme="majorHAnsi" w:hAnsiTheme="majorHAnsi" w:cstheme="majorBidi"/>
                <w:sz w:val="22"/>
                <w:szCs w:val="22"/>
              </w:rPr>
            </w:pPr>
            <w:r w:rsidRPr="00912E9B">
              <w:rPr>
                <w:rFonts w:asciiTheme="majorHAnsi" w:hAnsiTheme="majorHAnsi" w:cstheme="majorBidi"/>
                <w:sz w:val="22"/>
                <w:szCs w:val="22"/>
              </w:rPr>
              <w:t>Energy Regulatory Office (ERO)</w:t>
            </w:r>
          </w:p>
        </w:tc>
        <w:tc>
          <w:tcPr>
            <w:tcW w:w="7088" w:type="dxa"/>
            <w:shd w:val="clear" w:color="auto" w:fill="auto"/>
          </w:tcPr>
          <w:p w14:paraId="6A64668C" w14:textId="215B7FBE"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National regulatory authority, which was established in June 2004, with the promulgation by the Kosovo Parliament of the Law on the Energy Regulator.</w:t>
            </w:r>
          </w:p>
        </w:tc>
      </w:tr>
      <w:tr w:rsidR="00912E9B" w:rsidRPr="00912E9B" w14:paraId="627ED2C8" w14:textId="77777777" w:rsidTr="1CA2DFCF">
        <w:trPr>
          <w:cantSplit/>
        </w:trPr>
        <w:tc>
          <w:tcPr>
            <w:tcW w:w="2298" w:type="dxa"/>
            <w:shd w:val="clear" w:color="auto" w:fill="auto"/>
            <w:vAlign w:val="center"/>
          </w:tcPr>
          <w:p w14:paraId="035EC8FF" w14:textId="7EA384EE"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Entrance Fee</w:t>
            </w:r>
          </w:p>
        </w:tc>
        <w:tc>
          <w:tcPr>
            <w:tcW w:w="7088" w:type="dxa"/>
            <w:shd w:val="clear" w:color="auto" w:fill="auto"/>
          </w:tcPr>
          <w:p w14:paraId="665192EF" w14:textId="07A14762"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fee to be paid to the ALPEX by an Applicant for Accession as Exchange Member.</w:t>
            </w:r>
          </w:p>
        </w:tc>
      </w:tr>
      <w:tr w:rsidR="00912E9B" w:rsidRPr="00912E9B" w14:paraId="04B1BFEA" w14:textId="77777777" w:rsidTr="1CA2DFCF">
        <w:trPr>
          <w:cantSplit/>
        </w:trPr>
        <w:tc>
          <w:tcPr>
            <w:tcW w:w="2298" w:type="dxa"/>
            <w:shd w:val="clear" w:color="auto" w:fill="auto"/>
            <w:vAlign w:val="center"/>
          </w:tcPr>
          <w:p w14:paraId="78040E2C" w14:textId="5C08F69D"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ETSS</w:t>
            </w:r>
            <w:r w:rsidR="003B03D6" w:rsidRPr="00912E9B">
              <w:rPr>
                <w:rFonts w:asciiTheme="majorHAnsi" w:hAnsiTheme="majorHAnsi" w:cstheme="majorHAnsi"/>
                <w:sz w:val="22"/>
                <w:szCs w:val="22"/>
              </w:rPr>
              <w:t>- Energy Trading Spot System</w:t>
            </w:r>
          </w:p>
        </w:tc>
        <w:tc>
          <w:tcPr>
            <w:tcW w:w="7088" w:type="dxa"/>
            <w:shd w:val="clear" w:color="auto" w:fill="auto"/>
          </w:tcPr>
          <w:p w14:paraId="4EA0AA4A" w14:textId="020E1826"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Energy Trading Spot System. A trading system, which manages all Electricity Markets processes, performs all necessary calculations, records data and results of Day-Ahead and Intraday </w:t>
            </w:r>
            <w:proofErr w:type="gramStart"/>
            <w:r w:rsidRPr="00912E9B">
              <w:rPr>
                <w:rFonts w:asciiTheme="majorHAnsi" w:hAnsiTheme="majorHAnsi" w:cstheme="majorHAnsi"/>
                <w:sz w:val="22"/>
                <w:szCs w:val="22"/>
              </w:rPr>
              <w:t>markets</w:t>
            </w:r>
            <w:proofErr w:type="gramEnd"/>
            <w:r w:rsidRPr="00912E9B">
              <w:rPr>
                <w:rFonts w:asciiTheme="majorHAnsi" w:hAnsiTheme="majorHAnsi" w:cstheme="majorHAnsi"/>
                <w:sz w:val="22"/>
                <w:szCs w:val="22"/>
              </w:rPr>
              <w:t xml:space="preserve"> and manages the interfaces between the aforementioned markets and the Balancing Market operated by the relevant Transmission System Operator.</w:t>
            </w:r>
          </w:p>
        </w:tc>
      </w:tr>
      <w:tr w:rsidR="00912E9B" w:rsidRPr="00912E9B" w14:paraId="6D530905" w14:textId="77777777" w:rsidTr="1CA2DFCF">
        <w:trPr>
          <w:cantSplit/>
        </w:trPr>
        <w:tc>
          <w:tcPr>
            <w:tcW w:w="2298" w:type="dxa"/>
            <w:shd w:val="clear" w:color="auto" w:fill="auto"/>
            <w:vAlign w:val="center"/>
          </w:tcPr>
          <w:p w14:paraId="73FD9427"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Euro</w:t>
            </w:r>
          </w:p>
        </w:tc>
        <w:tc>
          <w:tcPr>
            <w:tcW w:w="7088" w:type="dxa"/>
            <w:shd w:val="clear" w:color="auto" w:fill="auto"/>
          </w:tcPr>
          <w:p w14:paraId="62298152" w14:textId="7949E9E4"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shd w:val="clear" w:color="auto" w:fill="FFFFFF"/>
              </w:rPr>
              <w:t>means the monetary unit and currency of the European Union, represented by the symbol €</w:t>
            </w:r>
            <w:r w:rsidRPr="00912E9B">
              <w:rPr>
                <w:rFonts w:asciiTheme="majorHAnsi" w:hAnsiTheme="majorHAnsi" w:cstheme="majorHAnsi"/>
                <w:sz w:val="22"/>
                <w:szCs w:val="22"/>
              </w:rPr>
              <w:t>.</w:t>
            </w:r>
          </w:p>
        </w:tc>
      </w:tr>
      <w:tr w:rsidR="00912E9B" w:rsidRPr="00912E9B" w14:paraId="76F90A74" w14:textId="77777777" w:rsidTr="1CA2DFCF">
        <w:trPr>
          <w:cantSplit/>
        </w:trPr>
        <w:tc>
          <w:tcPr>
            <w:tcW w:w="2298" w:type="dxa"/>
            <w:shd w:val="clear" w:color="auto" w:fill="auto"/>
            <w:vAlign w:val="center"/>
          </w:tcPr>
          <w:p w14:paraId="701916D0"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Exchange</w:t>
            </w:r>
          </w:p>
        </w:tc>
        <w:tc>
          <w:tcPr>
            <w:tcW w:w="7088" w:type="dxa"/>
            <w:shd w:val="clear" w:color="auto" w:fill="auto"/>
          </w:tcPr>
          <w:p w14:paraId="0D8D0B59" w14:textId="0E0C7793" w:rsidR="000772C8" w:rsidRPr="00912E9B" w:rsidRDefault="000772C8" w:rsidP="000772C8">
            <w:pPr>
              <w:pStyle w:val="CERGlossaryDefinition"/>
              <w:rPr>
                <w:rFonts w:asciiTheme="majorHAnsi" w:hAnsiTheme="majorHAnsi" w:cstheme="majorHAnsi"/>
                <w:sz w:val="22"/>
                <w:szCs w:val="22"/>
                <w:lang w:val="en-US"/>
              </w:rPr>
            </w:pPr>
            <w:r w:rsidRPr="00912E9B">
              <w:rPr>
                <w:rFonts w:asciiTheme="majorHAnsi" w:hAnsiTheme="majorHAnsi" w:cstheme="majorHAnsi"/>
                <w:sz w:val="22"/>
                <w:szCs w:val="22"/>
              </w:rPr>
              <w:t xml:space="preserve">means the organized market operated by ALPEX offering electricity trading, clearing and settlement on </w:t>
            </w:r>
            <w:r w:rsidR="0072326D" w:rsidRPr="00912E9B">
              <w:rPr>
                <w:rFonts w:asciiTheme="majorHAnsi" w:hAnsiTheme="majorHAnsi" w:cstheme="majorHAnsi"/>
                <w:sz w:val="22"/>
                <w:szCs w:val="22"/>
              </w:rPr>
              <w:t>D</w:t>
            </w:r>
            <w:r w:rsidRPr="00912E9B">
              <w:rPr>
                <w:rFonts w:asciiTheme="majorHAnsi" w:hAnsiTheme="majorHAnsi" w:cstheme="majorHAnsi"/>
                <w:sz w:val="22"/>
                <w:szCs w:val="22"/>
              </w:rPr>
              <w:t>ay-</w:t>
            </w:r>
            <w:r w:rsidR="0072326D" w:rsidRPr="00912E9B">
              <w:rPr>
                <w:rFonts w:asciiTheme="majorHAnsi" w:hAnsiTheme="majorHAnsi" w:cstheme="majorHAnsi"/>
                <w:sz w:val="22"/>
                <w:szCs w:val="22"/>
              </w:rPr>
              <w:t>A</w:t>
            </w:r>
            <w:r w:rsidRPr="00912E9B">
              <w:rPr>
                <w:rFonts w:asciiTheme="majorHAnsi" w:hAnsiTheme="majorHAnsi" w:cstheme="majorHAnsi"/>
                <w:sz w:val="22"/>
                <w:szCs w:val="22"/>
              </w:rPr>
              <w:t xml:space="preserve">head and </w:t>
            </w:r>
            <w:r w:rsidR="0072326D" w:rsidRPr="00912E9B">
              <w:rPr>
                <w:rFonts w:asciiTheme="majorHAnsi" w:hAnsiTheme="majorHAnsi" w:cstheme="majorHAnsi"/>
                <w:sz w:val="22"/>
                <w:szCs w:val="22"/>
              </w:rPr>
              <w:t>I</w:t>
            </w:r>
            <w:r w:rsidRPr="00912E9B">
              <w:rPr>
                <w:rFonts w:asciiTheme="majorHAnsi" w:hAnsiTheme="majorHAnsi" w:cstheme="majorHAnsi"/>
                <w:sz w:val="22"/>
                <w:szCs w:val="22"/>
              </w:rPr>
              <w:t>ntraday timeframes for the delivery of electricity in Albania and Kosovo, as set out in the ALPEX Rules</w:t>
            </w:r>
            <w:r w:rsidR="006F77F7" w:rsidRPr="00912E9B">
              <w:rPr>
                <w:rFonts w:asciiTheme="majorHAnsi" w:hAnsiTheme="majorHAnsi" w:cstheme="majorHAnsi"/>
                <w:sz w:val="22"/>
                <w:szCs w:val="22"/>
              </w:rPr>
              <w:t xml:space="preserve"> and the Procedures</w:t>
            </w:r>
            <w:r w:rsidRPr="00912E9B">
              <w:rPr>
                <w:rFonts w:asciiTheme="majorHAnsi" w:hAnsiTheme="majorHAnsi" w:cstheme="majorHAnsi"/>
                <w:sz w:val="22"/>
                <w:szCs w:val="22"/>
              </w:rPr>
              <w:t>.</w:t>
            </w:r>
          </w:p>
        </w:tc>
      </w:tr>
      <w:tr w:rsidR="00912E9B" w:rsidRPr="00912E9B" w14:paraId="5005E5E5" w14:textId="77777777" w:rsidTr="1CA2DFCF">
        <w:trPr>
          <w:cantSplit/>
        </w:trPr>
        <w:tc>
          <w:tcPr>
            <w:tcW w:w="2298" w:type="dxa"/>
            <w:shd w:val="clear" w:color="auto" w:fill="auto"/>
            <w:vAlign w:val="center"/>
          </w:tcPr>
          <w:p w14:paraId="64103C60" w14:textId="7FE6126C"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Exchange Committee</w:t>
            </w:r>
          </w:p>
        </w:tc>
        <w:tc>
          <w:tcPr>
            <w:tcW w:w="7088" w:type="dxa"/>
            <w:shd w:val="clear" w:color="auto" w:fill="auto"/>
          </w:tcPr>
          <w:p w14:paraId="5DE908DD" w14:textId="127A8918"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consultative committee elected by the Exchange Members. Its role is to provide advice to ALPEX through consultation and to promote that ALPEX Rules</w:t>
            </w:r>
            <w:r w:rsidR="00994DC5" w:rsidRPr="00912E9B">
              <w:rPr>
                <w:rFonts w:asciiTheme="majorHAnsi" w:hAnsiTheme="majorHAnsi" w:cstheme="majorHAnsi"/>
                <w:sz w:val="22"/>
                <w:szCs w:val="22"/>
              </w:rPr>
              <w:t xml:space="preserve"> and the Procedures</w:t>
            </w:r>
            <w:r w:rsidRPr="00912E9B">
              <w:rPr>
                <w:rFonts w:asciiTheme="majorHAnsi" w:hAnsiTheme="majorHAnsi" w:cstheme="majorHAnsi"/>
                <w:sz w:val="22"/>
                <w:szCs w:val="22"/>
              </w:rPr>
              <w:t xml:space="preserve"> remain updated and relevant over time.</w:t>
            </w:r>
          </w:p>
        </w:tc>
      </w:tr>
      <w:tr w:rsidR="00912E9B" w:rsidRPr="00912E9B" w14:paraId="3C619E96" w14:textId="77777777" w:rsidTr="1CA2DFCF">
        <w:trPr>
          <w:cantSplit/>
        </w:trPr>
        <w:tc>
          <w:tcPr>
            <w:tcW w:w="2298" w:type="dxa"/>
            <w:shd w:val="clear" w:color="auto" w:fill="auto"/>
            <w:vAlign w:val="center"/>
          </w:tcPr>
          <w:p w14:paraId="4C2791D2" w14:textId="7E4C7342"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Exchange Committee Procedures</w:t>
            </w:r>
          </w:p>
        </w:tc>
        <w:tc>
          <w:tcPr>
            <w:tcW w:w="7088" w:type="dxa"/>
            <w:shd w:val="clear" w:color="auto" w:fill="auto"/>
          </w:tcPr>
          <w:p w14:paraId="2511F145" w14:textId="3D1918D7"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document developed by ALPEX that sets role, meeting, </w:t>
            </w:r>
            <w:proofErr w:type="gramStart"/>
            <w:r w:rsidRPr="00912E9B">
              <w:rPr>
                <w:rFonts w:asciiTheme="majorHAnsi" w:hAnsiTheme="majorHAnsi" w:cstheme="majorHAnsi"/>
                <w:sz w:val="22"/>
                <w:szCs w:val="22"/>
              </w:rPr>
              <w:t>confidentiality</w:t>
            </w:r>
            <w:proofErr w:type="gramEnd"/>
            <w:r w:rsidRPr="00912E9B">
              <w:rPr>
                <w:rFonts w:asciiTheme="majorHAnsi" w:hAnsiTheme="majorHAnsi" w:cstheme="majorHAnsi"/>
                <w:sz w:val="22"/>
                <w:szCs w:val="22"/>
              </w:rPr>
              <w:t xml:space="preserve"> and composition of the Exchange Committee.</w:t>
            </w:r>
          </w:p>
        </w:tc>
      </w:tr>
      <w:tr w:rsidR="00912E9B" w:rsidRPr="00912E9B" w14:paraId="3CA377CE" w14:textId="77777777" w:rsidTr="1CA2DFCF">
        <w:trPr>
          <w:cantSplit/>
        </w:trPr>
        <w:tc>
          <w:tcPr>
            <w:tcW w:w="2298" w:type="dxa"/>
            <w:shd w:val="clear" w:color="auto" w:fill="auto"/>
            <w:vAlign w:val="center"/>
          </w:tcPr>
          <w:p w14:paraId="6F624ACF" w14:textId="16E359B9"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Exchange Member</w:t>
            </w:r>
          </w:p>
        </w:tc>
        <w:tc>
          <w:tcPr>
            <w:tcW w:w="7088" w:type="dxa"/>
            <w:shd w:val="clear" w:color="auto" w:fill="auto"/>
          </w:tcPr>
          <w:p w14:paraId="28DCE0A9" w14:textId="32FDFEC9"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legal entity admitted as a member of the Exchange in accordance with ALPEX Rules.</w:t>
            </w:r>
          </w:p>
        </w:tc>
      </w:tr>
      <w:tr w:rsidR="00912E9B" w:rsidRPr="00912E9B" w14:paraId="0CCE5995" w14:textId="77777777" w:rsidTr="1CA2DFCF">
        <w:trPr>
          <w:cantSplit/>
        </w:trPr>
        <w:tc>
          <w:tcPr>
            <w:tcW w:w="2298" w:type="dxa"/>
            <w:shd w:val="clear" w:color="auto" w:fill="auto"/>
            <w:vAlign w:val="center"/>
          </w:tcPr>
          <w:p w14:paraId="09D5D5A6" w14:textId="752BE24C"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t>Exchange Members Clearing Account</w:t>
            </w:r>
          </w:p>
        </w:tc>
        <w:tc>
          <w:tcPr>
            <w:tcW w:w="7088" w:type="dxa"/>
            <w:shd w:val="clear" w:color="auto" w:fill="auto"/>
          </w:tcPr>
          <w:p w14:paraId="6B71EE42" w14:textId="1C9E6991" w:rsidR="000772C8" w:rsidRPr="00912E9B" w:rsidRDefault="000772C8" w:rsidP="000772C8">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The account held in the System by a General Clearing Member in the name of an Exchange Member in </w:t>
            </w:r>
            <w:r w:rsidR="00A47EF5" w:rsidRPr="00912E9B">
              <w:rPr>
                <w:rFonts w:asciiTheme="minorHAnsi" w:hAnsiTheme="minorHAnsi" w:cstheme="minorHAnsi"/>
                <w:sz w:val="22"/>
                <w:szCs w:val="22"/>
              </w:rPr>
              <w:t>ALPEX</w:t>
            </w:r>
            <w:r w:rsidRPr="00912E9B">
              <w:rPr>
                <w:rFonts w:asciiTheme="minorHAnsi" w:hAnsiTheme="minorHAnsi" w:cstheme="minorHAnsi"/>
                <w:sz w:val="22"/>
                <w:szCs w:val="22"/>
              </w:rPr>
              <w:t xml:space="preserve"> Markets for the Clearing of the Transactions of the Exchange Member</w:t>
            </w:r>
            <w:r w:rsidR="00A47EF5" w:rsidRPr="00912E9B">
              <w:rPr>
                <w:rFonts w:asciiTheme="minorHAnsi" w:hAnsiTheme="minorHAnsi" w:cstheme="minorHAnsi"/>
                <w:sz w:val="22"/>
                <w:szCs w:val="22"/>
              </w:rPr>
              <w:t>.</w:t>
            </w:r>
          </w:p>
        </w:tc>
      </w:tr>
      <w:tr w:rsidR="00912E9B" w:rsidRPr="00912E9B" w14:paraId="54E843C8" w14:textId="77777777" w:rsidTr="1CA2DFCF">
        <w:trPr>
          <w:cantSplit/>
        </w:trPr>
        <w:tc>
          <w:tcPr>
            <w:tcW w:w="2298" w:type="dxa"/>
            <w:shd w:val="clear" w:color="auto" w:fill="auto"/>
            <w:vAlign w:val="center"/>
          </w:tcPr>
          <w:p w14:paraId="6637ED74" w14:textId="77777777"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Exchange Membership Agreement</w:t>
            </w:r>
          </w:p>
        </w:tc>
        <w:tc>
          <w:tcPr>
            <w:tcW w:w="7088" w:type="dxa"/>
            <w:shd w:val="clear" w:color="auto" w:fill="auto"/>
          </w:tcPr>
          <w:p w14:paraId="0A9D7042" w14:textId="5CE2BD54"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document signed by ALPEX and Applicant for adherence into ALPEX Markets for fulfilling the obligations derived from ALPEX Rules and the Procedures.</w:t>
            </w:r>
          </w:p>
        </w:tc>
      </w:tr>
      <w:tr w:rsidR="00912E9B" w:rsidRPr="00912E9B" w14:paraId="510BE748" w14:textId="77777777" w:rsidTr="1CA2DFCF">
        <w:trPr>
          <w:cantSplit/>
        </w:trPr>
        <w:tc>
          <w:tcPr>
            <w:tcW w:w="2298" w:type="dxa"/>
            <w:shd w:val="clear" w:color="auto" w:fill="auto"/>
            <w:vAlign w:val="center"/>
          </w:tcPr>
          <w:p w14:paraId="71E7581A" w14:textId="5051A5B2"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Exchange Rate</w:t>
            </w:r>
          </w:p>
        </w:tc>
        <w:tc>
          <w:tcPr>
            <w:tcW w:w="7088" w:type="dxa"/>
            <w:shd w:val="clear" w:color="auto" w:fill="auto"/>
          </w:tcPr>
          <w:p w14:paraId="532BC405" w14:textId="3CF0054F" w:rsidR="000772C8" w:rsidRPr="00912E9B" w:rsidRDefault="000772C8" w:rsidP="000772C8">
            <w:pPr>
              <w:pStyle w:val="CERGlossaryDefinition"/>
              <w:rPr>
                <w:rFonts w:asciiTheme="minorHAnsi" w:hAnsiTheme="minorHAnsi" w:cstheme="minorHAnsi"/>
                <w:sz w:val="22"/>
                <w:szCs w:val="22"/>
              </w:rPr>
            </w:pPr>
            <w:r w:rsidRPr="00912E9B">
              <w:rPr>
                <w:rFonts w:asciiTheme="minorHAnsi" w:hAnsiTheme="minorHAnsi" w:cstheme="minorHAnsi"/>
                <w:sz w:val="22"/>
                <w:szCs w:val="22"/>
              </w:rPr>
              <w:t>means the exchange rate between lek and euro for the Day prior Delivery Day published by Central Bank</w:t>
            </w:r>
            <w:r w:rsidR="00107953" w:rsidRPr="00912E9B">
              <w:rPr>
                <w:rFonts w:asciiTheme="minorHAnsi" w:hAnsiTheme="minorHAnsi" w:cstheme="minorHAnsi"/>
                <w:sz w:val="22"/>
                <w:szCs w:val="22"/>
              </w:rPr>
              <w:t xml:space="preserve"> until</w:t>
            </w:r>
            <w:r w:rsidRPr="00912E9B">
              <w:rPr>
                <w:rFonts w:asciiTheme="minorHAnsi" w:hAnsiTheme="minorHAnsi" w:cstheme="minorHAnsi"/>
                <w:sz w:val="22"/>
                <w:szCs w:val="22"/>
              </w:rPr>
              <w:t xml:space="preserve"> at 1</w:t>
            </w:r>
            <w:r w:rsidR="00BE54C6" w:rsidRPr="00912E9B">
              <w:rPr>
                <w:rFonts w:asciiTheme="minorHAnsi" w:hAnsiTheme="minorHAnsi" w:cstheme="minorHAnsi"/>
                <w:sz w:val="22"/>
                <w:szCs w:val="22"/>
              </w:rPr>
              <w:t>0</w:t>
            </w:r>
            <w:r w:rsidRPr="00912E9B">
              <w:rPr>
                <w:rFonts w:asciiTheme="minorHAnsi" w:hAnsiTheme="minorHAnsi" w:cstheme="minorHAnsi"/>
                <w:sz w:val="22"/>
                <w:szCs w:val="22"/>
              </w:rPr>
              <w:t xml:space="preserve">:00 on that Day </w:t>
            </w:r>
          </w:p>
        </w:tc>
      </w:tr>
      <w:tr w:rsidR="00912E9B" w:rsidRPr="00912E9B" w14:paraId="41B4CA77" w14:textId="77777777" w:rsidTr="1CA2DFCF">
        <w:trPr>
          <w:cantSplit/>
        </w:trPr>
        <w:tc>
          <w:tcPr>
            <w:tcW w:w="2298" w:type="dxa"/>
            <w:shd w:val="clear" w:color="auto" w:fill="auto"/>
            <w:vAlign w:val="center"/>
          </w:tcPr>
          <w:p w14:paraId="5B1930F4" w14:textId="1FCB9783"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t>Exclusive Group of Block Orders</w:t>
            </w:r>
          </w:p>
        </w:tc>
        <w:tc>
          <w:tcPr>
            <w:tcW w:w="7088" w:type="dxa"/>
            <w:shd w:val="clear" w:color="auto" w:fill="auto"/>
          </w:tcPr>
          <w:p w14:paraId="7077DF0C" w14:textId="5A5CF205"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A group of Block Orders, featuring the properties and specific conditions as provided in paragraph B.1.9 of the Trading Procedures.</w:t>
            </w:r>
          </w:p>
        </w:tc>
      </w:tr>
      <w:tr w:rsidR="00912E9B" w:rsidRPr="00912E9B" w14:paraId="4E806AD5" w14:textId="77777777" w:rsidTr="1CA2DFCF">
        <w:trPr>
          <w:cantSplit/>
        </w:trPr>
        <w:tc>
          <w:tcPr>
            <w:tcW w:w="2298" w:type="dxa"/>
            <w:shd w:val="clear" w:color="auto" w:fill="auto"/>
            <w:vAlign w:val="center"/>
          </w:tcPr>
          <w:p w14:paraId="6D9E8BCE" w14:textId="248EAA96" w:rsidR="00BA6D5A" w:rsidRPr="00912E9B" w:rsidRDefault="00BA6D5A"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Entity</w:t>
            </w:r>
          </w:p>
        </w:tc>
        <w:tc>
          <w:tcPr>
            <w:tcW w:w="7088" w:type="dxa"/>
            <w:shd w:val="clear" w:color="auto" w:fill="auto"/>
          </w:tcPr>
          <w:p w14:paraId="766652B9" w14:textId="5E0E2F3D" w:rsidR="00BA6D5A" w:rsidRPr="00912E9B" w:rsidRDefault="00B01E01"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w:t>
            </w:r>
            <w:r w:rsidR="00C51316" w:rsidRPr="00912E9B">
              <w:rPr>
                <w:rFonts w:asciiTheme="majorHAnsi" w:hAnsiTheme="majorHAnsi" w:cstheme="majorHAnsi"/>
                <w:sz w:val="22"/>
                <w:szCs w:val="22"/>
              </w:rPr>
              <w:t>a</w:t>
            </w:r>
            <w:r w:rsidRPr="00912E9B">
              <w:rPr>
                <w:rFonts w:asciiTheme="majorHAnsi" w:hAnsiTheme="majorHAnsi" w:cstheme="majorHAnsi"/>
                <w:sz w:val="22"/>
                <w:szCs w:val="22"/>
              </w:rPr>
              <w:t xml:space="preserve">n organized form of </w:t>
            </w:r>
            <w:r w:rsidR="00C51316" w:rsidRPr="00912E9B">
              <w:rPr>
                <w:rFonts w:asciiTheme="majorHAnsi" w:hAnsiTheme="majorHAnsi" w:cstheme="majorHAnsi"/>
                <w:sz w:val="22"/>
                <w:szCs w:val="22"/>
              </w:rPr>
              <w:t>commercial entities as provided in l</w:t>
            </w:r>
            <w:r w:rsidR="006E5B9B" w:rsidRPr="00912E9B">
              <w:rPr>
                <w:rFonts w:asciiTheme="majorHAnsi" w:hAnsiTheme="majorHAnsi" w:cstheme="majorHAnsi"/>
                <w:sz w:val="22"/>
                <w:szCs w:val="22"/>
              </w:rPr>
              <w:t>a</w:t>
            </w:r>
            <w:r w:rsidR="00C51316" w:rsidRPr="00912E9B">
              <w:rPr>
                <w:rFonts w:asciiTheme="majorHAnsi" w:hAnsiTheme="majorHAnsi" w:cstheme="majorHAnsi"/>
                <w:sz w:val="22"/>
                <w:szCs w:val="22"/>
              </w:rPr>
              <w:t>w no.</w:t>
            </w:r>
            <w:r w:rsidR="006E5B9B" w:rsidRPr="00912E9B">
              <w:t xml:space="preserve"> Nr.9901 dated </w:t>
            </w:r>
            <w:r w:rsidR="0002319D" w:rsidRPr="00912E9B">
              <w:t xml:space="preserve">14.4.2008 “On </w:t>
            </w:r>
            <w:r w:rsidR="008024AE" w:rsidRPr="00912E9B">
              <w:t>entrepreneurs and companies</w:t>
            </w:r>
            <w:r w:rsidR="0002319D" w:rsidRPr="00912E9B">
              <w:t xml:space="preserve">.”  as amended </w:t>
            </w:r>
            <w:r w:rsidR="007F75C3" w:rsidRPr="00912E9B">
              <w:t xml:space="preserve">and </w:t>
            </w:r>
            <w:r w:rsidR="0002319D" w:rsidRPr="00912E9B">
              <w:t xml:space="preserve">in Albanian Republic </w:t>
            </w:r>
            <w:r w:rsidR="007F75C3" w:rsidRPr="00912E9B">
              <w:t xml:space="preserve">and law </w:t>
            </w:r>
            <w:r w:rsidR="0019649E" w:rsidRPr="00912E9B">
              <w:rPr>
                <w:sz w:val="22"/>
                <w:szCs w:val="22"/>
              </w:rPr>
              <w:t>nr.06/L-</w:t>
            </w:r>
            <w:r w:rsidR="0002480A" w:rsidRPr="00912E9B">
              <w:rPr>
                <w:sz w:val="22"/>
                <w:szCs w:val="22"/>
              </w:rPr>
              <w:t>016 dated</w:t>
            </w:r>
            <w:r w:rsidR="001B13F0" w:rsidRPr="00912E9B">
              <w:rPr>
                <w:sz w:val="22"/>
                <w:szCs w:val="22"/>
              </w:rPr>
              <w:t xml:space="preserve"> 24.05.20</w:t>
            </w:r>
            <w:r w:rsidR="0002480A" w:rsidRPr="00912E9B">
              <w:rPr>
                <w:sz w:val="22"/>
                <w:szCs w:val="22"/>
              </w:rPr>
              <w:t xml:space="preserve">18 </w:t>
            </w:r>
            <w:r w:rsidR="008024AE" w:rsidRPr="00912E9B">
              <w:rPr>
                <w:sz w:val="22"/>
                <w:szCs w:val="22"/>
              </w:rPr>
              <w:t>“On</w:t>
            </w:r>
            <w:r w:rsidR="0019649E" w:rsidRPr="00912E9B">
              <w:rPr>
                <w:sz w:val="22"/>
                <w:szCs w:val="22"/>
              </w:rPr>
              <w:t xml:space="preserve"> </w:t>
            </w:r>
            <w:r w:rsidR="008024AE" w:rsidRPr="00912E9B">
              <w:rPr>
                <w:sz w:val="22"/>
                <w:szCs w:val="22"/>
              </w:rPr>
              <w:t>business organizations”</w:t>
            </w:r>
            <w:r w:rsidR="0019649E" w:rsidRPr="00912E9B">
              <w:rPr>
                <w:sz w:val="22"/>
                <w:szCs w:val="22"/>
              </w:rPr>
              <w:t xml:space="preserve"> as amended in Kosovo Republic. </w:t>
            </w:r>
          </w:p>
        </w:tc>
      </w:tr>
      <w:tr w:rsidR="00912E9B" w:rsidRPr="00912E9B" w14:paraId="752274E6" w14:textId="77777777" w:rsidTr="1CA2DFCF">
        <w:trPr>
          <w:cantSplit/>
        </w:trPr>
        <w:tc>
          <w:tcPr>
            <w:tcW w:w="2298" w:type="dxa"/>
            <w:shd w:val="clear" w:color="auto" w:fill="auto"/>
            <w:vAlign w:val="center"/>
          </w:tcPr>
          <w:p w14:paraId="696ECD30" w14:textId="4197209D"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t>Fallback Procedure</w:t>
            </w:r>
          </w:p>
        </w:tc>
        <w:tc>
          <w:tcPr>
            <w:tcW w:w="7088" w:type="dxa"/>
            <w:shd w:val="clear" w:color="auto" w:fill="auto"/>
          </w:tcPr>
          <w:p w14:paraId="5AC29030" w14:textId="5DCB04FE"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An alternative process used to calculate Market Clearing Price in the event of a failure of the Market Coupling Function Assets.</w:t>
            </w:r>
          </w:p>
        </w:tc>
      </w:tr>
      <w:tr w:rsidR="00912E9B" w:rsidRPr="00912E9B" w14:paraId="41E2F921" w14:textId="77777777" w:rsidTr="003F5E5F">
        <w:trPr>
          <w:cantSplit/>
        </w:trPr>
        <w:tc>
          <w:tcPr>
            <w:tcW w:w="2298" w:type="dxa"/>
            <w:shd w:val="clear" w:color="auto" w:fill="auto"/>
          </w:tcPr>
          <w:p w14:paraId="4AFE83C4" w14:textId="5AA201DD" w:rsidR="00715691" w:rsidRPr="00912E9B" w:rsidRDefault="00715691"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Fee</w:t>
            </w:r>
          </w:p>
        </w:tc>
        <w:tc>
          <w:tcPr>
            <w:tcW w:w="7088" w:type="dxa"/>
            <w:shd w:val="clear" w:color="auto" w:fill="auto"/>
          </w:tcPr>
          <w:p w14:paraId="2111C5EE" w14:textId="768E8D64" w:rsidR="00715691" w:rsidRPr="00912E9B" w:rsidRDefault="00715691" w:rsidP="00FE3F2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certain amount paid to ALPEX for being </w:t>
            </w:r>
            <w:r w:rsidR="009A3461" w:rsidRPr="00912E9B">
              <w:rPr>
                <w:rFonts w:asciiTheme="majorHAnsi" w:hAnsiTheme="majorHAnsi" w:cstheme="majorHAnsi"/>
                <w:sz w:val="22"/>
                <w:szCs w:val="22"/>
              </w:rPr>
              <w:t>an Exchange Member</w:t>
            </w:r>
            <w:r w:rsidR="00216F25" w:rsidRPr="00912E9B">
              <w:rPr>
                <w:rFonts w:asciiTheme="majorHAnsi" w:hAnsiTheme="majorHAnsi" w:cstheme="majorHAnsi"/>
                <w:sz w:val="22"/>
                <w:szCs w:val="22"/>
              </w:rPr>
              <w:t xml:space="preserve"> or Clearing Member</w:t>
            </w:r>
            <w:r w:rsidR="009A3461" w:rsidRPr="00912E9B">
              <w:rPr>
                <w:rFonts w:asciiTheme="majorHAnsi" w:hAnsiTheme="majorHAnsi" w:cstheme="majorHAnsi"/>
                <w:sz w:val="22"/>
                <w:szCs w:val="22"/>
              </w:rPr>
              <w:t xml:space="preserve"> </w:t>
            </w:r>
            <w:r w:rsidR="00A52D49" w:rsidRPr="00912E9B">
              <w:rPr>
                <w:rFonts w:asciiTheme="majorHAnsi" w:hAnsiTheme="majorHAnsi" w:cstheme="majorHAnsi"/>
                <w:sz w:val="22"/>
                <w:szCs w:val="22"/>
              </w:rPr>
              <w:t xml:space="preserve">as provided in ALPEX Rules and Procedures and ALPEX Fee Schedule. </w:t>
            </w:r>
          </w:p>
        </w:tc>
      </w:tr>
      <w:tr w:rsidR="00912E9B" w:rsidRPr="00912E9B" w14:paraId="2722B167" w14:textId="77777777" w:rsidTr="1CA2DFCF">
        <w:trPr>
          <w:cantSplit/>
        </w:trPr>
        <w:tc>
          <w:tcPr>
            <w:tcW w:w="2298" w:type="dxa"/>
            <w:shd w:val="clear" w:color="auto" w:fill="auto"/>
            <w:vAlign w:val="center"/>
          </w:tcPr>
          <w:p w14:paraId="3DC32228" w14:textId="05971B5B"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t>Fill-or-Kill Condition</w:t>
            </w:r>
          </w:p>
        </w:tc>
        <w:tc>
          <w:tcPr>
            <w:tcW w:w="7088" w:type="dxa"/>
            <w:shd w:val="clear" w:color="auto" w:fill="auto"/>
          </w:tcPr>
          <w:p w14:paraId="020223C3" w14:textId="5BA2F86E"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Execution condition on Orders entered in the Intraday Continuous Trading Solution as provided in paragraph D.1.6.2 of the Trading Procedures.</w:t>
            </w:r>
          </w:p>
        </w:tc>
      </w:tr>
      <w:tr w:rsidR="00912E9B" w:rsidRPr="00912E9B" w14:paraId="39DFD7A0" w14:textId="77777777" w:rsidTr="1CA2DFCF">
        <w:trPr>
          <w:cantSplit/>
        </w:trPr>
        <w:tc>
          <w:tcPr>
            <w:tcW w:w="2298" w:type="dxa"/>
            <w:shd w:val="clear" w:color="auto" w:fill="auto"/>
            <w:vAlign w:val="center"/>
          </w:tcPr>
          <w:p w14:paraId="5778C988" w14:textId="1A8C2BFB"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Force Majeure Event</w:t>
            </w:r>
          </w:p>
        </w:tc>
        <w:tc>
          <w:tcPr>
            <w:tcW w:w="7088" w:type="dxa"/>
            <w:shd w:val="clear" w:color="auto" w:fill="auto"/>
          </w:tcPr>
          <w:p w14:paraId="4FD8591F" w14:textId="2B3A5D9C"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any event which is provided in the respective Force Majeure Event defined by the applicable law in Albania and Kosovo.</w:t>
            </w:r>
          </w:p>
        </w:tc>
      </w:tr>
      <w:tr w:rsidR="00912E9B" w:rsidRPr="00912E9B" w14:paraId="1CA35B3A" w14:textId="77777777" w:rsidTr="1CA2DFCF">
        <w:trPr>
          <w:cantSplit/>
        </w:trPr>
        <w:tc>
          <w:tcPr>
            <w:tcW w:w="2298" w:type="dxa"/>
            <w:shd w:val="clear" w:color="auto" w:fill="auto"/>
            <w:vAlign w:val="center"/>
          </w:tcPr>
          <w:p w14:paraId="4557AA0C" w14:textId="72788C77"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t>Framework Agreement</w:t>
            </w:r>
          </w:p>
        </w:tc>
        <w:tc>
          <w:tcPr>
            <w:tcW w:w="7088" w:type="dxa"/>
            <w:shd w:val="clear" w:color="auto" w:fill="auto"/>
          </w:tcPr>
          <w:p w14:paraId="4F2369EC" w14:textId="7E83CDAB" w:rsidR="000772C8" w:rsidRPr="00912E9B" w:rsidRDefault="000772C8" w:rsidP="000772C8">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the agreement under which </w:t>
            </w:r>
            <w:proofErr w:type="gramStart"/>
            <w:r w:rsidRPr="00912E9B">
              <w:rPr>
                <w:rFonts w:asciiTheme="minorHAnsi" w:hAnsiTheme="minorHAnsi" w:cstheme="minorHAnsi"/>
                <w:sz w:val="22"/>
                <w:szCs w:val="22"/>
              </w:rPr>
              <w:t>a</w:t>
            </w:r>
            <w:proofErr w:type="gramEnd"/>
            <w:r w:rsidRPr="00912E9B">
              <w:rPr>
                <w:rFonts w:asciiTheme="minorHAnsi" w:hAnsiTheme="minorHAnsi" w:cstheme="minorHAnsi"/>
                <w:sz w:val="22"/>
                <w:szCs w:val="22"/>
              </w:rPr>
              <w:t xml:space="preserve"> </w:t>
            </w:r>
            <w:r w:rsidR="00F43729" w:rsidRPr="00912E9B">
              <w:rPr>
                <w:rFonts w:asciiTheme="minorHAnsi" w:hAnsiTheme="minorHAnsi" w:cstheme="minorHAnsi"/>
                <w:sz w:val="22"/>
                <w:szCs w:val="22"/>
              </w:rPr>
              <w:t>entity</w:t>
            </w:r>
            <w:r w:rsidRPr="00912E9B">
              <w:rPr>
                <w:rFonts w:asciiTheme="minorHAnsi" w:hAnsiTheme="minorHAnsi" w:cstheme="minorHAnsi"/>
                <w:sz w:val="22"/>
                <w:szCs w:val="22"/>
              </w:rPr>
              <w:t xml:space="preserve"> becomes bound by the Clearing and Settlement Procedures.</w:t>
            </w:r>
          </w:p>
        </w:tc>
      </w:tr>
      <w:tr w:rsidR="00912E9B" w:rsidRPr="00912E9B" w14:paraId="7F7B1414" w14:textId="77777777" w:rsidTr="1CA2DFCF">
        <w:trPr>
          <w:cantSplit/>
        </w:trPr>
        <w:tc>
          <w:tcPr>
            <w:tcW w:w="2298" w:type="dxa"/>
            <w:shd w:val="clear" w:color="auto" w:fill="auto"/>
            <w:vAlign w:val="center"/>
          </w:tcPr>
          <w:p w14:paraId="2EAEA2BC" w14:textId="09AE5780" w:rsidR="000772C8" w:rsidRPr="00912E9B" w:rsidRDefault="000772C8" w:rsidP="000772C8">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lang w:val="en-US"/>
              </w:rPr>
              <w:t xml:space="preserve">Gate Closure Time </w:t>
            </w:r>
          </w:p>
        </w:tc>
        <w:tc>
          <w:tcPr>
            <w:tcW w:w="7088" w:type="dxa"/>
            <w:shd w:val="clear" w:color="auto" w:fill="auto"/>
          </w:tcPr>
          <w:p w14:paraId="06DF0FE0" w14:textId="657E3640" w:rsidR="000772C8" w:rsidRPr="00912E9B" w:rsidRDefault="000772C8" w:rsidP="00D40051">
            <w:pPr>
              <w:pStyle w:val="CERGlossaryDefinition"/>
              <w:numPr>
                <w:ilvl w:val="0"/>
                <w:numId w:val="55"/>
              </w:numPr>
              <w:ind w:left="482" w:hanging="450"/>
              <w:rPr>
                <w:rFonts w:asciiTheme="majorHAnsi" w:hAnsiTheme="majorHAnsi" w:cstheme="majorHAnsi"/>
                <w:sz w:val="22"/>
                <w:szCs w:val="22"/>
              </w:rPr>
            </w:pPr>
            <w:r w:rsidRPr="00912E9B">
              <w:rPr>
                <w:rFonts w:asciiTheme="majorHAnsi" w:hAnsiTheme="majorHAnsi" w:cstheme="majorHAnsi"/>
                <w:sz w:val="22"/>
                <w:szCs w:val="22"/>
              </w:rPr>
              <w:t>in the Day Ahead Market and Intraday Auctions has the meaning of Auction Gate Closure Time.</w:t>
            </w:r>
          </w:p>
          <w:p w14:paraId="7CA5CB74" w14:textId="613BFF78" w:rsidR="000772C8" w:rsidRPr="00912E9B" w:rsidRDefault="000772C8" w:rsidP="00D40051">
            <w:pPr>
              <w:pStyle w:val="CERGlossaryDefinition"/>
              <w:numPr>
                <w:ilvl w:val="0"/>
                <w:numId w:val="55"/>
              </w:numPr>
              <w:ind w:left="482" w:hanging="450"/>
              <w:rPr>
                <w:rFonts w:asciiTheme="majorHAnsi" w:hAnsiTheme="majorHAnsi" w:cstheme="majorHAnsi"/>
                <w:sz w:val="22"/>
                <w:szCs w:val="22"/>
              </w:rPr>
            </w:pPr>
            <w:r w:rsidRPr="00912E9B">
              <w:rPr>
                <w:rFonts w:asciiTheme="majorHAnsi" w:hAnsiTheme="majorHAnsi" w:cstheme="majorHAnsi"/>
                <w:sz w:val="22"/>
                <w:szCs w:val="22"/>
              </w:rPr>
              <w:t>In the Continuous Intraday Trading, means the end-time of Trading for specified MTUs, as specified in the ALPEX Rules</w:t>
            </w:r>
            <w:r w:rsidR="005F2280" w:rsidRPr="00912E9B">
              <w:rPr>
                <w:rFonts w:asciiTheme="majorHAnsi" w:hAnsiTheme="majorHAnsi" w:cstheme="majorHAnsi"/>
                <w:sz w:val="22"/>
                <w:szCs w:val="22"/>
              </w:rPr>
              <w:t xml:space="preserve"> and Procedures</w:t>
            </w:r>
            <w:r w:rsidRPr="00912E9B">
              <w:rPr>
                <w:rFonts w:asciiTheme="majorHAnsi" w:hAnsiTheme="majorHAnsi" w:cstheme="majorHAnsi"/>
                <w:sz w:val="22"/>
                <w:szCs w:val="22"/>
              </w:rPr>
              <w:t>.</w:t>
            </w:r>
          </w:p>
        </w:tc>
      </w:tr>
      <w:tr w:rsidR="00912E9B" w:rsidRPr="00912E9B" w14:paraId="33315954" w14:textId="77777777" w:rsidTr="1CA2DFCF">
        <w:trPr>
          <w:cantSplit/>
        </w:trPr>
        <w:tc>
          <w:tcPr>
            <w:tcW w:w="2298" w:type="dxa"/>
            <w:shd w:val="clear" w:color="auto" w:fill="auto"/>
            <w:vAlign w:val="center"/>
          </w:tcPr>
          <w:p w14:paraId="65CA6B1D" w14:textId="050ECFF1"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lang w:val="en-US"/>
              </w:rPr>
              <w:t xml:space="preserve">Gate Opening Time </w:t>
            </w:r>
          </w:p>
        </w:tc>
        <w:tc>
          <w:tcPr>
            <w:tcW w:w="7088" w:type="dxa"/>
            <w:shd w:val="clear" w:color="auto" w:fill="auto"/>
          </w:tcPr>
          <w:p w14:paraId="217C28AE" w14:textId="3A789D6D"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the time from which Exchange Members can submit Orders to ETSS.</w:t>
            </w:r>
          </w:p>
        </w:tc>
      </w:tr>
      <w:tr w:rsidR="00912E9B" w:rsidRPr="00912E9B" w14:paraId="624A8AD5" w14:textId="77777777" w:rsidTr="1CA2DFCF">
        <w:trPr>
          <w:cantSplit/>
        </w:trPr>
        <w:tc>
          <w:tcPr>
            <w:tcW w:w="2298" w:type="dxa"/>
            <w:shd w:val="clear" w:color="auto" w:fill="auto"/>
            <w:vAlign w:val="center"/>
          </w:tcPr>
          <w:p w14:paraId="0227B2A8" w14:textId="6ED6DFD4"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General Clearing Member</w:t>
            </w:r>
          </w:p>
        </w:tc>
        <w:tc>
          <w:tcPr>
            <w:tcW w:w="7088" w:type="dxa"/>
            <w:shd w:val="clear" w:color="auto" w:fill="auto"/>
          </w:tcPr>
          <w:p w14:paraId="47FD7A53" w14:textId="14D5B263" w:rsidR="000772C8" w:rsidRPr="00912E9B" w:rsidRDefault="000772C8"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Clearing Member which is entitled to clear the Transactions carried out by Exchange Members on the ALPEX Markets.</w:t>
            </w:r>
          </w:p>
        </w:tc>
      </w:tr>
      <w:tr w:rsidR="00912E9B" w:rsidRPr="00912E9B" w14:paraId="73928E73" w14:textId="77777777" w:rsidTr="1CA2DFCF">
        <w:trPr>
          <w:cantSplit/>
        </w:trPr>
        <w:tc>
          <w:tcPr>
            <w:tcW w:w="2298" w:type="dxa"/>
            <w:shd w:val="clear" w:color="auto" w:fill="auto"/>
            <w:vAlign w:val="center"/>
          </w:tcPr>
          <w:p w14:paraId="072E2CB6" w14:textId="149505BE"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General Dispute </w:t>
            </w:r>
          </w:p>
        </w:tc>
        <w:tc>
          <w:tcPr>
            <w:tcW w:w="7088" w:type="dxa"/>
            <w:shd w:val="clear" w:color="auto" w:fill="auto"/>
          </w:tcPr>
          <w:p w14:paraId="1175E9AF" w14:textId="68E3E8FA" w:rsidR="000772C8" w:rsidRPr="00912E9B" w:rsidRDefault="000772C8" w:rsidP="000772C8">
            <w:pPr>
              <w:spacing w:before="100" w:beforeAutospacing="1" w:after="100" w:afterAutospacing="1" w:line="240" w:lineRule="auto"/>
              <w:rPr>
                <w:rFonts w:asciiTheme="majorHAnsi" w:hAnsiTheme="majorHAnsi" w:cstheme="majorHAnsi"/>
                <w:sz w:val="22"/>
                <w:szCs w:val="22"/>
                <w:lang w:val="en-US"/>
              </w:rPr>
            </w:pPr>
            <w:r w:rsidRPr="00912E9B">
              <w:rPr>
                <w:rFonts w:asciiTheme="majorHAnsi" w:eastAsia="Times New Roman" w:hAnsiTheme="majorHAnsi" w:cstheme="majorHAnsi"/>
                <w:sz w:val="22"/>
                <w:szCs w:val="22"/>
              </w:rPr>
              <w:t>means a Dispute which does not fall within any of the preceding categories of Admission Dispute and Conflict Dispute, including a Dispute in relation to payments under these ALPEX Rules</w:t>
            </w:r>
            <w:r w:rsidR="00CC1EB5" w:rsidRPr="00912E9B">
              <w:rPr>
                <w:rFonts w:asciiTheme="majorHAnsi" w:eastAsia="Times New Roman" w:hAnsiTheme="majorHAnsi" w:cstheme="majorHAnsi"/>
                <w:sz w:val="22"/>
                <w:szCs w:val="22"/>
              </w:rPr>
              <w:t xml:space="preserve"> and P</w:t>
            </w:r>
            <w:r w:rsidR="00C31BC5" w:rsidRPr="00912E9B">
              <w:rPr>
                <w:rFonts w:asciiTheme="majorHAnsi" w:eastAsia="Times New Roman" w:hAnsiTheme="majorHAnsi" w:cstheme="majorHAnsi"/>
                <w:sz w:val="22"/>
                <w:szCs w:val="22"/>
              </w:rPr>
              <w:t>rocedures</w:t>
            </w:r>
            <w:r w:rsidRPr="00912E9B">
              <w:rPr>
                <w:rFonts w:asciiTheme="majorHAnsi" w:eastAsia="Times New Roman" w:hAnsiTheme="majorHAnsi" w:cstheme="majorHAnsi"/>
                <w:sz w:val="22"/>
                <w:szCs w:val="22"/>
              </w:rPr>
              <w:t>.</w:t>
            </w:r>
          </w:p>
        </w:tc>
      </w:tr>
      <w:tr w:rsidR="00912E9B" w:rsidRPr="00912E9B" w14:paraId="377A7BDE" w14:textId="77777777" w:rsidTr="00FE3F21">
        <w:trPr>
          <w:cantSplit/>
        </w:trPr>
        <w:tc>
          <w:tcPr>
            <w:tcW w:w="2298" w:type="dxa"/>
            <w:shd w:val="clear" w:color="auto" w:fill="auto"/>
            <w:vAlign w:val="center"/>
          </w:tcPr>
          <w:p w14:paraId="34E0BCE7" w14:textId="3E8E850E"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General Terms</w:t>
            </w:r>
          </w:p>
        </w:tc>
        <w:tc>
          <w:tcPr>
            <w:tcW w:w="7088" w:type="dxa"/>
            <w:shd w:val="clear" w:color="auto" w:fill="auto"/>
            <w:vAlign w:val="center"/>
          </w:tcPr>
          <w:p w14:paraId="2CBBB0CD" w14:textId="0C93EAE6" w:rsidR="000772C8" w:rsidRPr="00912E9B" w:rsidRDefault="00DD7459" w:rsidP="00FE3F21">
            <w:pPr>
              <w:spacing w:before="100" w:beforeAutospacing="1" w:after="100" w:afterAutospacing="1" w:line="240" w:lineRule="auto"/>
              <w:jc w:val="left"/>
              <w:rPr>
                <w:rFonts w:asciiTheme="majorHAnsi" w:eastAsia="Times New Roman" w:hAnsiTheme="majorHAnsi" w:cstheme="majorHAnsi"/>
                <w:sz w:val="22"/>
                <w:szCs w:val="22"/>
              </w:rPr>
            </w:pPr>
            <w:r w:rsidRPr="00912E9B">
              <w:rPr>
                <w:rFonts w:asciiTheme="majorHAnsi" w:eastAsia="Times New Roman" w:hAnsiTheme="majorHAnsi" w:cstheme="majorHAnsi"/>
                <w:sz w:val="22"/>
                <w:szCs w:val="22"/>
              </w:rPr>
              <w:t>Mean the document drafted by ALPEX and approved by Regulatory Authority</w:t>
            </w:r>
            <w:r w:rsidR="00C35415" w:rsidRPr="00912E9B">
              <w:rPr>
                <w:rFonts w:asciiTheme="majorHAnsi" w:eastAsia="Times New Roman" w:hAnsiTheme="majorHAnsi" w:cstheme="majorHAnsi"/>
                <w:sz w:val="22"/>
                <w:szCs w:val="22"/>
              </w:rPr>
              <w:t xml:space="preserve"> named as ALPEX Rules</w:t>
            </w:r>
          </w:p>
        </w:tc>
      </w:tr>
      <w:tr w:rsidR="00912E9B" w:rsidRPr="00912E9B" w14:paraId="01823DD0" w14:textId="77777777" w:rsidTr="00FE3F21">
        <w:trPr>
          <w:cantSplit/>
        </w:trPr>
        <w:tc>
          <w:tcPr>
            <w:tcW w:w="2298" w:type="dxa"/>
            <w:shd w:val="clear" w:color="auto" w:fill="auto"/>
            <w:vAlign w:val="center"/>
          </w:tcPr>
          <w:p w14:paraId="07FA0574" w14:textId="307E71AA" w:rsidR="000772C8" w:rsidRPr="00912E9B" w:rsidRDefault="000772C8" w:rsidP="000772C8">
            <w:pPr>
              <w:pStyle w:val="CERGlossaryTerm"/>
              <w:rPr>
                <w:rFonts w:asciiTheme="majorHAnsi" w:hAnsiTheme="majorHAnsi" w:cstheme="majorHAnsi"/>
                <w:sz w:val="22"/>
                <w:szCs w:val="22"/>
              </w:rPr>
            </w:pPr>
            <w:r w:rsidRPr="00912E9B">
              <w:rPr>
                <w:rFonts w:asciiTheme="minorHAnsi" w:hAnsiTheme="minorHAnsi" w:cstheme="minorHAnsi"/>
                <w:sz w:val="22"/>
                <w:szCs w:val="22"/>
              </w:rPr>
              <w:t xml:space="preserve">Glossary </w:t>
            </w:r>
          </w:p>
        </w:tc>
        <w:tc>
          <w:tcPr>
            <w:tcW w:w="7088" w:type="dxa"/>
            <w:shd w:val="clear" w:color="auto" w:fill="auto"/>
            <w:vAlign w:val="center"/>
          </w:tcPr>
          <w:p w14:paraId="1DAFEF76" w14:textId="1B267721" w:rsidR="000772C8" w:rsidRPr="00912E9B" w:rsidRDefault="00D84BEA" w:rsidP="00FE3F21">
            <w:pPr>
              <w:spacing w:before="100" w:beforeAutospacing="1" w:after="100" w:afterAutospacing="1" w:line="240" w:lineRule="auto"/>
              <w:jc w:val="left"/>
              <w:rPr>
                <w:rFonts w:asciiTheme="majorHAnsi" w:eastAsia="Times New Roman" w:hAnsiTheme="majorHAnsi" w:cstheme="majorHAnsi"/>
                <w:sz w:val="22"/>
                <w:szCs w:val="22"/>
              </w:rPr>
            </w:pPr>
            <w:r w:rsidRPr="00912E9B">
              <w:rPr>
                <w:rFonts w:asciiTheme="majorHAnsi" w:hAnsiTheme="majorHAnsi" w:cstheme="majorHAnsi"/>
                <w:sz w:val="22"/>
                <w:szCs w:val="22"/>
              </w:rPr>
              <w:t xml:space="preserve">Means </w:t>
            </w:r>
            <w:r w:rsidR="0011654A" w:rsidRPr="00912E9B">
              <w:rPr>
                <w:rFonts w:asciiTheme="majorHAnsi" w:hAnsiTheme="majorHAnsi" w:cstheme="majorHAnsi"/>
                <w:sz w:val="22"/>
                <w:szCs w:val="22"/>
              </w:rPr>
              <w:t xml:space="preserve">ALPEX </w:t>
            </w:r>
            <w:r w:rsidR="00C10A2C" w:rsidRPr="00912E9B">
              <w:rPr>
                <w:rFonts w:asciiTheme="majorHAnsi" w:hAnsiTheme="majorHAnsi" w:cstheme="majorHAnsi"/>
                <w:sz w:val="22"/>
                <w:szCs w:val="22"/>
              </w:rPr>
              <w:t>Glossary</w:t>
            </w:r>
            <w:r w:rsidR="0096320D" w:rsidRPr="00912E9B">
              <w:rPr>
                <w:rFonts w:asciiTheme="majorHAnsi" w:hAnsiTheme="majorHAnsi" w:cstheme="majorHAnsi"/>
                <w:sz w:val="22"/>
                <w:szCs w:val="22"/>
              </w:rPr>
              <w:t xml:space="preserve"> used in ALPEX Rules and the Procedures.</w:t>
            </w:r>
          </w:p>
        </w:tc>
      </w:tr>
      <w:tr w:rsidR="00912E9B" w:rsidRPr="00912E9B" w14:paraId="65C52DCF" w14:textId="77777777" w:rsidTr="1CA2DFCF">
        <w:trPr>
          <w:cantSplit/>
        </w:trPr>
        <w:tc>
          <w:tcPr>
            <w:tcW w:w="2298" w:type="dxa"/>
            <w:shd w:val="clear" w:color="auto" w:fill="auto"/>
            <w:vAlign w:val="center"/>
          </w:tcPr>
          <w:p w14:paraId="2AC14E30" w14:textId="574FC121"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Good for Session Condition</w:t>
            </w:r>
          </w:p>
        </w:tc>
        <w:tc>
          <w:tcPr>
            <w:tcW w:w="7088" w:type="dxa"/>
            <w:shd w:val="clear" w:color="auto" w:fill="auto"/>
          </w:tcPr>
          <w:p w14:paraId="54E163F9" w14:textId="1621833C" w:rsidR="000772C8" w:rsidRPr="00912E9B" w:rsidRDefault="000772C8" w:rsidP="000772C8">
            <w:pPr>
              <w:spacing w:before="100" w:beforeAutospacing="1" w:after="100" w:afterAutospacing="1" w:line="240" w:lineRule="auto"/>
              <w:rPr>
                <w:rFonts w:asciiTheme="majorHAnsi" w:hAnsiTheme="majorHAnsi" w:cstheme="majorHAnsi"/>
                <w:sz w:val="22"/>
                <w:szCs w:val="22"/>
              </w:rPr>
            </w:pPr>
            <w:r w:rsidRPr="00912E9B">
              <w:rPr>
                <w:rFonts w:asciiTheme="majorHAnsi" w:hAnsiTheme="majorHAnsi" w:cstheme="majorHAnsi"/>
                <w:sz w:val="22"/>
                <w:szCs w:val="22"/>
              </w:rPr>
              <w:t>Validity condition on Orders entered in the Intraday Continuous Trading Solution as provided in paragraph D.1.6.5(b) of the Trading Procedures.</w:t>
            </w:r>
          </w:p>
        </w:tc>
      </w:tr>
      <w:tr w:rsidR="00912E9B" w:rsidRPr="00912E9B" w14:paraId="01AD3DE5" w14:textId="77777777" w:rsidTr="1CA2DFCF">
        <w:trPr>
          <w:cantSplit/>
        </w:trPr>
        <w:tc>
          <w:tcPr>
            <w:tcW w:w="2298" w:type="dxa"/>
            <w:shd w:val="clear" w:color="auto" w:fill="auto"/>
            <w:vAlign w:val="center"/>
          </w:tcPr>
          <w:p w14:paraId="7D7693F1" w14:textId="076CABE0"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lastRenderedPageBreak/>
              <w:t>Good Till Date Condition</w:t>
            </w:r>
          </w:p>
        </w:tc>
        <w:tc>
          <w:tcPr>
            <w:tcW w:w="7088" w:type="dxa"/>
            <w:shd w:val="clear" w:color="auto" w:fill="auto"/>
          </w:tcPr>
          <w:p w14:paraId="4916905E" w14:textId="0E35EF67" w:rsidR="000772C8" w:rsidRPr="00912E9B" w:rsidRDefault="000772C8" w:rsidP="000772C8">
            <w:pPr>
              <w:spacing w:before="100" w:beforeAutospacing="1" w:after="100" w:afterAutospacing="1" w:line="240" w:lineRule="auto"/>
              <w:rPr>
                <w:rFonts w:asciiTheme="majorHAnsi" w:hAnsiTheme="majorHAnsi" w:cstheme="majorHAnsi"/>
                <w:sz w:val="22"/>
                <w:szCs w:val="22"/>
              </w:rPr>
            </w:pPr>
            <w:r w:rsidRPr="00912E9B">
              <w:rPr>
                <w:rFonts w:asciiTheme="majorHAnsi" w:hAnsiTheme="majorHAnsi" w:cstheme="majorHAnsi"/>
                <w:sz w:val="22"/>
                <w:szCs w:val="22"/>
              </w:rPr>
              <w:t>Validity condition on Orders entered in the Intraday Continuous Trading Solution as provided in paragraph D.1.6.5(a) of the Trading Procedures.</w:t>
            </w:r>
          </w:p>
        </w:tc>
      </w:tr>
      <w:tr w:rsidR="00912E9B" w:rsidRPr="00912E9B" w14:paraId="414F2D61" w14:textId="77777777" w:rsidTr="1CA2DFCF">
        <w:trPr>
          <w:cantSplit/>
        </w:trPr>
        <w:tc>
          <w:tcPr>
            <w:tcW w:w="2298" w:type="dxa"/>
            <w:shd w:val="clear" w:color="auto" w:fill="auto"/>
            <w:vAlign w:val="center"/>
          </w:tcPr>
          <w:p w14:paraId="36DBDC28" w14:textId="20C403C2"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Iceberg Orders</w:t>
            </w:r>
          </w:p>
        </w:tc>
        <w:tc>
          <w:tcPr>
            <w:tcW w:w="7088" w:type="dxa"/>
            <w:shd w:val="clear" w:color="auto" w:fill="auto"/>
          </w:tcPr>
          <w:p w14:paraId="2B99AB59" w14:textId="3DA94F43" w:rsidR="000772C8" w:rsidRPr="00912E9B" w:rsidRDefault="000772C8" w:rsidP="000772C8">
            <w:pPr>
              <w:spacing w:before="100" w:beforeAutospacing="1" w:after="100" w:afterAutospacing="1" w:line="240" w:lineRule="auto"/>
              <w:rPr>
                <w:rFonts w:asciiTheme="majorHAnsi" w:hAnsiTheme="majorHAnsi" w:cstheme="majorHAnsi"/>
                <w:sz w:val="22"/>
                <w:szCs w:val="22"/>
              </w:rPr>
            </w:pPr>
            <w:r w:rsidRPr="00912E9B">
              <w:rPr>
                <w:rFonts w:asciiTheme="majorHAnsi" w:hAnsiTheme="majorHAnsi" w:cstheme="majorHAnsi"/>
                <w:sz w:val="22"/>
                <w:szCs w:val="22"/>
              </w:rPr>
              <w:t>means a</w:t>
            </w:r>
            <w:r w:rsidR="004478D2" w:rsidRPr="00912E9B">
              <w:rPr>
                <w:rFonts w:asciiTheme="majorHAnsi" w:hAnsiTheme="majorHAnsi" w:cstheme="majorHAnsi"/>
                <w:sz w:val="22"/>
                <w:szCs w:val="22"/>
              </w:rPr>
              <w:t>n</w:t>
            </w:r>
            <w:r w:rsidRPr="00912E9B">
              <w:rPr>
                <w:rFonts w:asciiTheme="majorHAnsi" w:hAnsiTheme="majorHAnsi" w:cstheme="majorHAnsi"/>
                <w:sz w:val="22"/>
                <w:szCs w:val="22"/>
              </w:rPr>
              <w:t xml:space="preserve"> Orders with the characteristics described in paragraph D.1.3 of the Trading Procedures.</w:t>
            </w:r>
          </w:p>
        </w:tc>
      </w:tr>
      <w:tr w:rsidR="00912E9B" w:rsidRPr="00912E9B" w14:paraId="38966948" w14:textId="77777777" w:rsidTr="00783FBB">
        <w:trPr>
          <w:cantSplit/>
        </w:trPr>
        <w:tc>
          <w:tcPr>
            <w:tcW w:w="2298" w:type="dxa"/>
            <w:shd w:val="clear" w:color="auto" w:fill="auto"/>
            <w:vAlign w:val="center"/>
          </w:tcPr>
          <w:p w14:paraId="5D19A6F4" w14:textId="419FE118"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IDM</w:t>
            </w:r>
          </w:p>
        </w:tc>
        <w:tc>
          <w:tcPr>
            <w:tcW w:w="7088" w:type="dxa"/>
            <w:shd w:val="clear" w:color="auto" w:fill="auto"/>
            <w:vAlign w:val="center"/>
          </w:tcPr>
          <w:p w14:paraId="3C26D3C1" w14:textId="2D8B3B3F" w:rsidR="000772C8" w:rsidRPr="00912E9B" w:rsidRDefault="000772C8" w:rsidP="00783FBB">
            <w:pPr>
              <w:spacing w:before="100" w:beforeAutospacing="1" w:after="100" w:afterAutospacing="1" w:line="240" w:lineRule="auto"/>
              <w:jc w:val="left"/>
              <w:rPr>
                <w:rFonts w:asciiTheme="majorHAnsi" w:hAnsiTheme="majorHAnsi" w:cstheme="majorHAnsi"/>
                <w:sz w:val="22"/>
                <w:szCs w:val="22"/>
              </w:rPr>
            </w:pPr>
            <w:r w:rsidRPr="00912E9B">
              <w:rPr>
                <w:rFonts w:asciiTheme="majorHAnsi" w:hAnsiTheme="majorHAnsi" w:cstheme="majorHAnsi"/>
                <w:sz w:val="22"/>
                <w:szCs w:val="22"/>
              </w:rPr>
              <w:t>The Intraday Market.</w:t>
            </w:r>
          </w:p>
        </w:tc>
      </w:tr>
      <w:tr w:rsidR="00912E9B" w:rsidRPr="00912E9B" w14:paraId="2BA7F0E9" w14:textId="77777777" w:rsidTr="00783FBB">
        <w:trPr>
          <w:cantSplit/>
        </w:trPr>
        <w:tc>
          <w:tcPr>
            <w:tcW w:w="2298" w:type="dxa"/>
            <w:shd w:val="clear" w:color="auto" w:fill="auto"/>
            <w:vAlign w:val="center"/>
          </w:tcPr>
          <w:p w14:paraId="4FE1EBDE" w14:textId="5B20D97D" w:rsidR="000772C8" w:rsidRPr="00912E9B" w:rsidRDefault="000772C8" w:rsidP="000772C8">
            <w:pPr>
              <w:pStyle w:val="CERGlossaryTerm"/>
              <w:rPr>
                <w:rFonts w:asciiTheme="minorHAnsi" w:hAnsiTheme="minorHAnsi" w:cstheme="minorHAnsi"/>
                <w:sz w:val="22"/>
                <w:szCs w:val="22"/>
              </w:rPr>
            </w:pPr>
            <w:r w:rsidRPr="00912E9B">
              <w:rPr>
                <w:rFonts w:asciiTheme="minorHAnsi" w:hAnsiTheme="minorHAnsi" w:cstheme="minorHAnsi"/>
                <w:sz w:val="22"/>
                <w:szCs w:val="22"/>
              </w:rPr>
              <w:t>Immediate-or-Cancel Condition</w:t>
            </w:r>
          </w:p>
        </w:tc>
        <w:tc>
          <w:tcPr>
            <w:tcW w:w="7088" w:type="dxa"/>
            <w:shd w:val="clear" w:color="auto" w:fill="auto"/>
            <w:vAlign w:val="center"/>
          </w:tcPr>
          <w:p w14:paraId="2922807C" w14:textId="30DB4D23" w:rsidR="000772C8" w:rsidRPr="00912E9B" w:rsidRDefault="000772C8" w:rsidP="00783FBB">
            <w:pPr>
              <w:spacing w:before="100" w:beforeAutospacing="1" w:after="100" w:afterAutospacing="1" w:line="240" w:lineRule="auto"/>
              <w:jc w:val="left"/>
              <w:rPr>
                <w:rFonts w:asciiTheme="majorHAnsi" w:hAnsiTheme="majorHAnsi" w:cstheme="majorHAnsi"/>
                <w:sz w:val="22"/>
                <w:szCs w:val="22"/>
              </w:rPr>
            </w:pPr>
            <w:r w:rsidRPr="00912E9B">
              <w:rPr>
                <w:rFonts w:asciiTheme="majorHAnsi" w:hAnsiTheme="majorHAnsi" w:cstheme="majorHAnsi"/>
                <w:sz w:val="22"/>
                <w:szCs w:val="22"/>
              </w:rPr>
              <w:t>Condition on Orders entered in the Intraday Continuous Trading Solution as provided in paragraph D.1.6 of the Trading Procedures.</w:t>
            </w:r>
          </w:p>
        </w:tc>
      </w:tr>
      <w:tr w:rsidR="00912E9B" w:rsidRPr="00912E9B" w14:paraId="4B4380FA" w14:textId="77777777" w:rsidTr="1CA2DFCF">
        <w:trPr>
          <w:cantSplit/>
        </w:trPr>
        <w:tc>
          <w:tcPr>
            <w:tcW w:w="2298" w:type="dxa"/>
            <w:shd w:val="clear" w:color="auto" w:fill="auto"/>
            <w:vAlign w:val="center"/>
          </w:tcPr>
          <w:p w14:paraId="1B55DD90" w14:textId="148FEB8F" w:rsidR="000772C8" w:rsidRPr="00912E9B" w:rsidRDefault="000772C8" w:rsidP="000772C8">
            <w:pPr>
              <w:pStyle w:val="CERGlossaryTerm"/>
              <w:rPr>
                <w:rFonts w:asciiTheme="majorHAnsi" w:hAnsiTheme="majorHAnsi" w:cstheme="majorHAnsi"/>
                <w:sz w:val="22"/>
                <w:szCs w:val="22"/>
              </w:rPr>
            </w:pPr>
            <w:r w:rsidRPr="00912E9B">
              <w:rPr>
                <w:rFonts w:asciiTheme="majorHAnsi" w:hAnsiTheme="majorHAnsi" w:cstheme="majorHAnsi"/>
                <w:sz w:val="22"/>
                <w:szCs w:val="22"/>
              </w:rPr>
              <w:t>Indemnified Person</w:t>
            </w:r>
          </w:p>
        </w:tc>
        <w:tc>
          <w:tcPr>
            <w:tcW w:w="7088" w:type="dxa"/>
            <w:shd w:val="clear" w:color="auto" w:fill="auto"/>
          </w:tcPr>
          <w:p w14:paraId="4821944F" w14:textId="2AA73B07" w:rsidR="000772C8" w:rsidRPr="00912E9B" w:rsidRDefault="0088168E" w:rsidP="000772C8">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Meaning given in the section </w:t>
            </w:r>
            <w:r w:rsidR="00D915AB" w:rsidRPr="00912E9B">
              <w:rPr>
                <w:rFonts w:asciiTheme="majorHAnsi" w:hAnsiTheme="majorHAnsi" w:cstheme="majorHAnsi"/>
                <w:sz w:val="22"/>
                <w:szCs w:val="22"/>
              </w:rPr>
              <w:t>G.3.2 of ALPEX Rules.</w:t>
            </w:r>
          </w:p>
        </w:tc>
      </w:tr>
      <w:tr w:rsidR="00912E9B" w:rsidRPr="00912E9B" w14:paraId="7F909418" w14:textId="77777777" w:rsidTr="1CA2DFCF">
        <w:trPr>
          <w:cantSplit/>
        </w:trPr>
        <w:tc>
          <w:tcPr>
            <w:tcW w:w="2298" w:type="dxa"/>
            <w:shd w:val="clear" w:color="auto" w:fill="auto"/>
            <w:vAlign w:val="center"/>
          </w:tcPr>
          <w:p w14:paraId="41D13D2C" w14:textId="4A6FB280" w:rsidR="00DD38CC" w:rsidRPr="00912E9B" w:rsidRDefault="00DD38CC" w:rsidP="00DD38CC">
            <w:pPr>
              <w:pStyle w:val="CERGlossaryTerm"/>
              <w:rPr>
                <w:rFonts w:asciiTheme="majorHAnsi" w:hAnsiTheme="majorHAnsi" w:cstheme="majorHAnsi"/>
                <w:sz w:val="22"/>
                <w:szCs w:val="22"/>
              </w:rPr>
            </w:pPr>
            <w:r w:rsidRPr="00912E9B">
              <w:rPr>
                <w:rFonts w:asciiTheme="minorHAnsi" w:hAnsiTheme="minorHAnsi" w:cstheme="minorHAnsi"/>
                <w:sz w:val="22"/>
                <w:szCs w:val="22"/>
              </w:rPr>
              <w:t>Initial Contribution</w:t>
            </w:r>
          </w:p>
        </w:tc>
        <w:tc>
          <w:tcPr>
            <w:tcW w:w="7088" w:type="dxa"/>
            <w:shd w:val="clear" w:color="auto" w:fill="auto"/>
          </w:tcPr>
          <w:p w14:paraId="1324A312" w14:textId="3A1FA634" w:rsidR="00DD38CC" w:rsidRPr="00912E9B" w:rsidRDefault="00DD38CC" w:rsidP="00DD38CC">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relevant contribution in cash provide from Clearing Member</w:t>
            </w:r>
            <w:r w:rsidRPr="00912E9B">
              <w:t xml:space="preserve"> </w:t>
            </w:r>
            <w:r w:rsidRPr="00912E9B">
              <w:rPr>
                <w:rFonts w:asciiTheme="majorHAnsi" w:hAnsiTheme="majorHAnsi" w:cstheme="majorHAnsi"/>
                <w:sz w:val="22"/>
                <w:szCs w:val="22"/>
              </w:rPr>
              <w:t xml:space="preserve">to the Default Fund </w:t>
            </w:r>
            <w:proofErr w:type="gramStart"/>
            <w:r w:rsidRPr="00912E9B">
              <w:rPr>
                <w:rFonts w:asciiTheme="majorHAnsi" w:hAnsiTheme="majorHAnsi" w:cstheme="majorHAnsi"/>
                <w:sz w:val="22"/>
                <w:szCs w:val="22"/>
              </w:rPr>
              <w:t>in order to</w:t>
            </w:r>
            <w:proofErr w:type="gramEnd"/>
            <w:r w:rsidRPr="00912E9B">
              <w:rPr>
                <w:rFonts w:asciiTheme="majorHAnsi" w:hAnsiTheme="majorHAnsi" w:cstheme="majorHAnsi"/>
                <w:sz w:val="22"/>
                <w:szCs w:val="22"/>
              </w:rPr>
              <w:t xml:space="preserve"> acquire the relevant capacity.</w:t>
            </w:r>
          </w:p>
        </w:tc>
      </w:tr>
      <w:tr w:rsidR="00912E9B" w:rsidRPr="00912E9B" w14:paraId="3C40376B" w14:textId="77777777" w:rsidTr="1CA2DFCF">
        <w:trPr>
          <w:cantSplit/>
        </w:trPr>
        <w:tc>
          <w:tcPr>
            <w:tcW w:w="2298" w:type="dxa"/>
            <w:shd w:val="clear" w:color="auto" w:fill="auto"/>
            <w:vAlign w:val="center"/>
          </w:tcPr>
          <w:p w14:paraId="17AAAEDF" w14:textId="77777777"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Inside Information</w:t>
            </w:r>
          </w:p>
        </w:tc>
        <w:tc>
          <w:tcPr>
            <w:tcW w:w="7088" w:type="dxa"/>
            <w:shd w:val="clear" w:color="auto" w:fill="auto"/>
          </w:tcPr>
          <w:p w14:paraId="0A0350D2" w14:textId="6252C7ED" w:rsidR="00DD38CC" w:rsidRPr="00912E9B" w:rsidRDefault="00DD38CC" w:rsidP="00DD38CC">
            <w:pPr>
              <w:pStyle w:val="CERGlossaryDefinition"/>
              <w:rPr>
                <w:rFonts w:asciiTheme="majorHAnsi" w:hAnsiTheme="majorHAnsi" w:cstheme="majorHAnsi"/>
                <w:sz w:val="22"/>
                <w:szCs w:val="22"/>
                <w:lang w:val="en-US"/>
              </w:rPr>
            </w:pPr>
            <w:r w:rsidRPr="00912E9B">
              <w:rPr>
                <w:rFonts w:asciiTheme="majorHAnsi" w:hAnsiTheme="majorHAnsi" w:cstheme="majorHAnsi"/>
                <w:sz w:val="22"/>
                <w:szCs w:val="22"/>
              </w:rPr>
              <w:t>means information of a precise nature which has not been made public, which relates, directly or indirectly, to one or more wholesale electricity products and which, if it were made public, would be likely to significantly affect the prices of those wholesale electricity</w:t>
            </w:r>
            <w:r w:rsidRPr="00912E9B" w:rsidDel="0077370C">
              <w:rPr>
                <w:rFonts w:asciiTheme="majorHAnsi" w:hAnsiTheme="majorHAnsi" w:cstheme="majorHAnsi"/>
                <w:sz w:val="22"/>
                <w:szCs w:val="22"/>
              </w:rPr>
              <w:t xml:space="preserve"> </w:t>
            </w:r>
            <w:r w:rsidRPr="00912E9B">
              <w:rPr>
                <w:rFonts w:asciiTheme="majorHAnsi" w:hAnsiTheme="majorHAnsi" w:cstheme="majorHAnsi"/>
                <w:sz w:val="22"/>
                <w:szCs w:val="22"/>
              </w:rPr>
              <w:t xml:space="preserve">products. </w:t>
            </w:r>
          </w:p>
        </w:tc>
      </w:tr>
      <w:tr w:rsidR="00912E9B" w:rsidRPr="00912E9B" w14:paraId="6D62062D" w14:textId="77777777" w:rsidTr="1CA2DFCF">
        <w:trPr>
          <w:cantSplit/>
        </w:trPr>
        <w:tc>
          <w:tcPr>
            <w:tcW w:w="2298" w:type="dxa"/>
            <w:shd w:val="clear" w:color="auto" w:fill="auto"/>
            <w:vAlign w:val="center"/>
          </w:tcPr>
          <w:p w14:paraId="389E302E" w14:textId="77777777"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Intellectual Property Rights</w:t>
            </w:r>
          </w:p>
        </w:tc>
        <w:tc>
          <w:tcPr>
            <w:tcW w:w="7088" w:type="dxa"/>
            <w:shd w:val="clear" w:color="auto" w:fill="auto"/>
          </w:tcPr>
          <w:p w14:paraId="27AB3020" w14:textId="77777777" w:rsidR="00DD38CC" w:rsidRPr="00912E9B" w:rsidRDefault="00DD38CC" w:rsidP="00DD38CC">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copyright (present and future), patents, inventions, design rights, database rights, trade secrets, know-how, any applications for registration of any of the foregoing, and any other intellectual or industrial property rights of whatsoever nature, whether </w:t>
            </w:r>
            <w:proofErr w:type="gramStart"/>
            <w:r w:rsidRPr="00912E9B">
              <w:rPr>
                <w:rFonts w:asciiTheme="majorHAnsi" w:hAnsiTheme="majorHAnsi" w:cstheme="majorHAnsi"/>
                <w:sz w:val="22"/>
                <w:szCs w:val="22"/>
              </w:rPr>
              <w:t>similar to</w:t>
            </w:r>
            <w:proofErr w:type="gramEnd"/>
            <w:r w:rsidRPr="00912E9B">
              <w:rPr>
                <w:rFonts w:asciiTheme="majorHAnsi" w:hAnsiTheme="majorHAnsi" w:cstheme="majorHAnsi"/>
                <w:sz w:val="22"/>
                <w:szCs w:val="22"/>
              </w:rPr>
              <w:t xml:space="preserve"> those described above or otherwise, whether registerable or not, existing now or in the future created throughout the world.</w:t>
            </w:r>
          </w:p>
        </w:tc>
      </w:tr>
      <w:tr w:rsidR="00912E9B" w:rsidRPr="00912E9B" w14:paraId="7A193798" w14:textId="77777777" w:rsidTr="1CA2DFCF">
        <w:trPr>
          <w:cantSplit/>
        </w:trPr>
        <w:tc>
          <w:tcPr>
            <w:tcW w:w="2298" w:type="dxa"/>
            <w:shd w:val="clear" w:color="auto" w:fill="auto"/>
            <w:vAlign w:val="center"/>
          </w:tcPr>
          <w:p w14:paraId="40DAAB62" w14:textId="5A0D9F9D"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Interconnector</w:t>
            </w:r>
          </w:p>
        </w:tc>
        <w:tc>
          <w:tcPr>
            <w:tcW w:w="7088" w:type="dxa"/>
            <w:shd w:val="clear" w:color="auto" w:fill="auto"/>
          </w:tcPr>
          <w:p w14:paraId="1FED9FD3" w14:textId="235BB9F1" w:rsidR="00DD38CC" w:rsidRPr="00912E9B" w:rsidRDefault="00DD38CC" w:rsidP="00DD38CC">
            <w:pPr>
              <w:pStyle w:val="CERGlossaryDefinition"/>
              <w:rPr>
                <w:rFonts w:asciiTheme="majorHAnsi" w:hAnsiTheme="majorHAnsi" w:cstheme="majorHAnsi"/>
                <w:sz w:val="22"/>
                <w:szCs w:val="22"/>
                <w:lang w:val="en-US"/>
              </w:rPr>
            </w:pPr>
            <w:r w:rsidRPr="00912E9B">
              <w:rPr>
                <w:rFonts w:asciiTheme="majorHAnsi" w:hAnsiTheme="majorHAnsi" w:cstheme="majorHAnsi"/>
                <w:sz w:val="22"/>
                <w:szCs w:val="22"/>
              </w:rPr>
              <w:t xml:space="preserve">means a transmission line which crosses or spans a border between </w:t>
            </w:r>
            <w:r w:rsidR="005B12ED" w:rsidRPr="00912E9B">
              <w:rPr>
                <w:rFonts w:asciiTheme="majorHAnsi" w:hAnsiTheme="majorHAnsi" w:cstheme="majorHAnsi"/>
                <w:sz w:val="22"/>
                <w:szCs w:val="22"/>
              </w:rPr>
              <w:t>countries,</w:t>
            </w:r>
            <w:r w:rsidR="0072326D" w:rsidRPr="00912E9B">
              <w:rPr>
                <w:rFonts w:asciiTheme="majorHAnsi" w:hAnsiTheme="majorHAnsi" w:cstheme="majorHAnsi"/>
                <w:sz w:val="22"/>
                <w:szCs w:val="22"/>
              </w:rPr>
              <w:t xml:space="preserve"> and</w:t>
            </w:r>
            <w:r w:rsidRPr="00912E9B">
              <w:rPr>
                <w:rFonts w:asciiTheme="majorHAnsi" w:hAnsiTheme="majorHAnsi" w:cstheme="majorHAnsi"/>
                <w:sz w:val="22"/>
                <w:szCs w:val="22"/>
              </w:rPr>
              <w:t xml:space="preserve"> which connects the national transmission systems of the countries.</w:t>
            </w:r>
          </w:p>
        </w:tc>
      </w:tr>
      <w:tr w:rsidR="00912E9B" w:rsidRPr="00912E9B" w14:paraId="0D397D9B" w14:textId="77777777" w:rsidTr="1CA2DFCF">
        <w:trPr>
          <w:cantSplit/>
        </w:trPr>
        <w:tc>
          <w:tcPr>
            <w:tcW w:w="2298" w:type="dxa"/>
            <w:shd w:val="clear" w:color="auto" w:fill="auto"/>
            <w:vAlign w:val="center"/>
          </w:tcPr>
          <w:p w14:paraId="3B12D186" w14:textId="2F55A4A5"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Interconnector Transaction Information</w:t>
            </w:r>
          </w:p>
        </w:tc>
        <w:tc>
          <w:tcPr>
            <w:tcW w:w="7088" w:type="dxa"/>
            <w:shd w:val="clear" w:color="auto" w:fill="auto"/>
          </w:tcPr>
          <w:p w14:paraId="53960D28" w14:textId="6F43EAF7" w:rsidR="00DD38CC" w:rsidRPr="00912E9B" w:rsidRDefault="00DD38CC" w:rsidP="00DD38CC">
            <w:pPr>
              <w:pStyle w:val="CERLEVEL4"/>
              <w:keepNext w:val="0"/>
              <w:numPr>
                <w:ilvl w:val="0"/>
                <w:numId w:val="0"/>
              </w:numPr>
              <w:ind w:left="31"/>
              <w:rPr>
                <w:rFonts w:asciiTheme="majorHAnsi" w:hAnsiTheme="majorHAnsi" w:cstheme="majorHAnsi"/>
              </w:rPr>
            </w:pPr>
            <w:bookmarkStart w:id="3" w:name="_Ref492650236"/>
            <w:r w:rsidRPr="00912E9B">
              <w:rPr>
                <w:rFonts w:asciiTheme="majorHAnsi" w:hAnsiTheme="majorHAnsi" w:cstheme="majorHAnsi"/>
              </w:rPr>
              <w:t xml:space="preserve">means following information </w:t>
            </w:r>
            <w:r w:rsidRPr="00912E9B">
              <w:rPr>
                <w:rFonts w:asciiTheme="majorHAnsi" w:hAnsiTheme="majorHAnsi" w:cstheme="majorHAnsi"/>
                <w:lang w:val="en-US"/>
              </w:rPr>
              <w:t>arising out of an Auction</w:t>
            </w:r>
            <w:r w:rsidRPr="00912E9B">
              <w:rPr>
                <w:rFonts w:asciiTheme="majorHAnsi" w:hAnsiTheme="majorHAnsi" w:cstheme="majorHAnsi"/>
              </w:rPr>
              <w:t xml:space="preserve"> in relation to each Interconnector:</w:t>
            </w:r>
            <w:bookmarkEnd w:id="3"/>
          </w:p>
          <w:p w14:paraId="3E83A706" w14:textId="77777777" w:rsidR="00DD38CC" w:rsidRPr="00912E9B" w:rsidRDefault="00DD38CC" w:rsidP="00DD38CC">
            <w:pPr>
              <w:pStyle w:val="CERLEVEL6"/>
              <w:ind w:left="391"/>
            </w:pPr>
            <w:r w:rsidRPr="00912E9B">
              <w:t>ALPEX Market (Day-Ahead or Intraday</w:t>
            </w:r>
            <w:proofErr w:type="gramStart"/>
            <w:r w:rsidRPr="00912E9B">
              <w:t>);</w:t>
            </w:r>
            <w:proofErr w:type="gramEnd"/>
          </w:p>
          <w:p w14:paraId="5BAB75CF" w14:textId="77777777" w:rsidR="00DD38CC" w:rsidRPr="00912E9B" w:rsidRDefault="00DD38CC" w:rsidP="00DD38CC">
            <w:pPr>
              <w:pStyle w:val="CERLEVEL6"/>
              <w:ind w:left="391"/>
            </w:pPr>
            <w:r w:rsidRPr="00912E9B">
              <w:t>relevant Interconnector or Shipping Agent.</w:t>
            </w:r>
          </w:p>
          <w:p w14:paraId="5BD35DDD" w14:textId="77777777" w:rsidR="00DD38CC" w:rsidRPr="00912E9B" w:rsidRDefault="00DD38CC" w:rsidP="00DD38CC">
            <w:pPr>
              <w:pStyle w:val="CERLEVEL6"/>
              <w:ind w:left="391"/>
            </w:pPr>
            <w:r w:rsidRPr="00912E9B">
              <w:t xml:space="preserve">scheduled quantity and direction of electricity </w:t>
            </w:r>
            <w:proofErr w:type="gramStart"/>
            <w:r w:rsidRPr="00912E9B">
              <w:t>transfer;</w:t>
            </w:r>
            <w:proofErr w:type="gramEnd"/>
          </w:p>
          <w:p w14:paraId="56C4D50E" w14:textId="77777777" w:rsidR="00DD38CC" w:rsidRPr="00912E9B" w:rsidRDefault="00DD38CC" w:rsidP="00DD38CC">
            <w:pPr>
              <w:pStyle w:val="CERLEVEL6"/>
              <w:ind w:left="391"/>
            </w:pPr>
            <w:r w:rsidRPr="00912E9B">
              <w:t>relevant MTU; and</w:t>
            </w:r>
          </w:p>
          <w:p w14:paraId="5BFCD30D" w14:textId="2E849912" w:rsidR="00DD38CC" w:rsidRPr="00912E9B" w:rsidRDefault="00DD38CC" w:rsidP="009B7A31">
            <w:pPr>
              <w:pStyle w:val="CERLEVEL6"/>
              <w:ind w:left="391"/>
              <w:rPr>
                <w:rFonts w:asciiTheme="majorHAnsi" w:hAnsiTheme="majorHAnsi" w:cstheme="majorHAnsi"/>
              </w:rPr>
            </w:pPr>
            <w:r w:rsidRPr="00912E9B">
              <w:t>such other information as the Procedures or the Clearing Conditions require.</w:t>
            </w:r>
          </w:p>
        </w:tc>
      </w:tr>
      <w:tr w:rsidR="00912E9B" w:rsidRPr="00912E9B" w14:paraId="0E282495" w14:textId="77777777" w:rsidTr="1CA2DFCF">
        <w:trPr>
          <w:cantSplit/>
        </w:trPr>
        <w:tc>
          <w:tcPr>
            <w:tcW w:w="2298" w:type="dxa"/>
            <w:shd w:val="clear" w:color="auto" w:fill="auto"/>
            <w:vAlign w:val="center"/>
          </w:tcPr>
          <w:p w14:paraId="5EFA0289" w14:textId="35100F18"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Intraday Auction</w:t>
            </w:r>
          </w:p>
        </w:tc>
        <w:tc>
          <w:tcPr>
            <w:tcW w:w="7088" w:type="dxa"/>
            <w:shd w:val="clear" w:color="auto" w:fill="auto"/>
          </w:tcPr>
          <w:p w14:paraId="384019BC" w14:textId="7ABBA2F0" w:rsidR="00DD38CC" w:rsidRPr="00912E9B" w:rsidRDefault="00DD38CC" w:rsidP="00DD38CC">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an Auction in the Intraday Market Segment. </w:t>
            </w:r>
          </w:p>
        </w:tc>
      </w:tr>
      <w:tr w:rsidR="00912E9B" w:rsidRPr="00912E9B" w14:paraId="6E65763F" w14:textId="77777777" w:rsidTr="1CA2DFCF">
        <w:trPr>
          <w:cantSplit/>
        </w:trPr>
        <w:tc>
          <w:tcPr>
            <w:tcW w:w="2298" w:type="dxa"/>
            <w:shd w:val="clear" w:color="auto" w:fill="auto"/>
            <w:vAlign w:val="center"/>
          </w:tcPr>
          <w:p w14:paraId="6A707483" w14:textId="3D575E95"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Intraday Market</w:t>
            </w:r>
          </w:p>
        </w:tc>
        <w:tc>
          <w:tcPr>
            <w:tcW w:w="7088" w:type="dxa"/>
            <w:shd w:val="clear" w:color="auto" w:fill="auto"/>
          </w:tcPr>
          <w:p w14:paraId="7732AEB6" w14:textId="22FF6E1B" w:rsidR="00DD38CC" w:rsidRPr="00912E9B" w:rsidRDefault="00DD38CC" w:rsidP="00DD38CC">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ALPEX market where transactions are carried out for the sale and purchase of electricity with the obligation of physical delivery, after expiry of the time limit for the submission of </w:t>
            </w:r>
            <w:r w:rsidR="00983820" w:rsidRPr="00912E9B">
              <w:rPr>
                <w:rFonts w:asciiTheme="majorHAnsi" w:hAnsiTheme="majorHAnsi" w:cstheme="majorHAnsi"/>
                <w:sz w:val="22"/>
                <w:szCs w:val="22"/>
              </w:rPr>
              <w:t>Or</w:t>
            </w:r>
            <w:r w:rsidRPr="00912E9B">
              <w:rPr>
                <w:rFonts w:asciiTheme="majorHAnsi" w:hAnsiTheme="majorHAnsi" w:cstheme="majorHAnsi"/>
                <w:sz w:val="22"/>
                <w:szCs w:val="22"/>
              </w:rPr>
              <w:t xml:space="preserve">ders for </w:t>
            </w:r>
            <w:r w:rsidR="00983820" w:rsidRPr="00912E9B">
              <w:rPr>
                <w:rFonts w:asciiTheme="majorHAnsi" w:hAnsiTheme="majorHAnsi" w:cstheme="majorHAnsi"/>
                <w:sz w:val="22"/>
                <w:szCs w:val="22"/>
              </w:rPr>
              <w:t>T</w:t>
            </w:r>
            <w:r w:rsidRPr="00912E9B">
              <w:rPr>
                <w:rFonts w:asciiTheme="majorHAnsi" w:hAnsiTheme="majorHAnsi" w:cstheme="majorHAnsi"/>
                <w:sz w:val="22"/>
                <w:szCs w:val="22"/>
              </w:rPr>
              <w:t>ransactions in the Day-Ahead Market and relate to the Delivery Day in accordance with the provisions of Applicable Law as well as the provisions of the Clearing and Settlement Procedures.</w:t>
            </w:r>
          </w:p>
        </w:tc>
      </w:tr>
      <w:tr w:rsidR="00912E9B" w:rsidRPr="00912E9B" w14:paraId="03DED6AE" w14:textId="77777777" w:rsidTr="1CA2DFCF">
        <w:trPr>
          <w:cantSplit/>
        </w:trPr>
        <w:tc>
          <w:tcPr>
            <w:tcW w:w="2298" w:type="dxa"/>
            <w:shd w:val="clear" w:color="auto" w:fill="auto"/>
            <w:vAlign w:val="center"/>
          </w:tcPr>
          <w:p w14:paraId="098C0869" w14:textId="2FE69224" w:rsidR="00DD38CC" w:rsidRPr="00912E9B" w:rsidRDefault="00DD38CC" w:rsidP="00DD38CC">
            <w:pPr>
              <w:pStyle w:val="CERGlossaryTerm"/>
              <w:rPr>
                <w:rFonts w:asciiTheme="majorHAnsi" w:hAnsiTheme="majorHAnsi" w:cstheme="majorHAnsi"/>
                <w:sz w:val="22"/>
                <w:szCs w:val="22"/>
              </w:rPr>
            </w:pPr>
            <w:r w:rsidRPr="00912E9B">
              <w:rPr>
                <w:rFonts w:asciiTheme="minorHAnsi" w:hAnsiTheme="minorHAnsi" w:cstheme="minorHAnsi"/>
                <w:sz w:val="22"/>
                <w:szCs w:val="22"/>
              </w:rPr>
              <w:t>Intraday Risk</w:t>
            </w:r>
          </w:p>
        </w:tc>
        <w:tc>
          <w:tcPr>
            <w:tcW w:w="7088" w:type="dxa"/>
            <w:shd w:val="clear" w:color="auto" w:fill="auto"/>
          </w:tcPr>
          <w:p w14:paraId="5C2B4ABB" w14:textId="3B8149F7" w:rsidR="00DD38CC" w:rsidRPr="00912E9B" w:rsidRDefault="00DD38CC" w:rsidP="00DD38CC">
            <w:pPr>
              <w:pStyle w:val="CERGlossaryDefinition"/>
              <w:rPr>
                <w:rFonts w:asciiTheme="majorHAnsi" w:hAnsiTheme="majorHAnsi" w:cstheme="majorHAnsi"/>
                <w:sz w:val="22"/>
                <w:szCs w:val="22"/>
              </w:rPr>
            </w:pPr>
            <w:r w:rsidRPr="00912E9B">
              <w:rPr>
                <w:rFonts w:asciiTheme="minorHAnsi" w:hAnsiTheme="minorHAnsi" w:cstheme="minorHAnsi"/>
                <w:sz w:val="22"/>
                <w:szCs w:val="22"/>
              </w:rPr>
              <w:t>has the meaning given in section G.5.2.</w:t>
            </w:r>
          </w:p>
        </w:tc>
      </w:tr>
      <w:tr w:rsidR="00912E9B" w:rsidRPr="00912E9B" w14:paraId="068910C3" w14:textId="77777777" w:rsidTr="1CA2DFCF">
        <w:trPr>
          <w:cantSplit/>
        </w:trPr>
        <w:tc>
          <w:tcPr>
            <w:tcW w:w="2298" w:type="dxa"/>
            <w:shd w:val="clear" w:color="auto" w:fill="auto"/>
            <w:vAlign w:val="center"/>
          </w:tcPr>
          <w:p w14:paraId="1AE8A615" w14:textId="00F94EE6" w:rsidR="00DD38CC" w:rsidRPr="00912E9B" w:rsidRDefault="00DD38CC" w:rsidP="00DD38CC">
            <w:pPr>
              <w:pStyle w:val="CERGlossaryTerm"/>
              <w:rPr>
                <w:rFonts w:asciiTheme="minorHAnsi" w:hAnsiTheme="minorHAnsi" w:cstheme="minorHAnsi"/>
                <w:sz w:val="22"/>
                <w:szCs w:val="22"/>
              </w:rPr>
            </w:pPr>
            <w:r w:rsidRPr="00912E9B">
              <w:rPr>
                <w:rFonts w:asciiTheme="minorHAnsi" w:hAnsiTheme="minorHAnsi" w:cstheme="minorHAnsi"/>
                <w:sz w:val="22"/>
                <w:szCs w:val="22"/>
              </w:rPr>
              <w:t>Invoice</w:t>
            </w:r>
          </w:p>
        </w:tc>
        <w:tc>
          <w:tcPr>
            <w:tcW w:w="7088" w:type="dxa"/>
            <w:shd w:val="clear" w:color="auto" w:fill="auto"/>
          </w:tcPr>
          <w:p w14:paraId="6A38224F" w14:textId="775475F0" w:rsidR="00DD38CC" w:rsidRPr="00912E9B" w:rsidRDefault="00DD38CC" w:rsidP="00DD38CC">
            <w:pPr>
              <w:pStyle w:val="CERGlossaryDefinition"/>
              <w:rPr>
                <w:rFonts w:asciiTheme="minorHAnsi" w:hAnsiTheme="minorHAnsi" w:cstheme="minorHAnsi"/>
                <w:sz w:val="22"/>
                <w:szCs w:val="22"/>
              </w:rPr>
            </w:pPr>
            <w:r w:rsidRPr="00912E9B">
              <w:rPr>
                <w:rFonts w:asciiTheme="minorHAnsi" w:hAnsiTheme="minorHAnsi" w:cstheme="minorHAnsi"/>
                <w:sz w:val="22"/>
                <w:szCs w:val="22"/>
              </w:rPr>
              <w:t>has the meaning given in section G.4.2.</w:t>
            </w:r>
          </w:p>
        </w:tc>
      </w:tr>
      <w:tr w:rsidR="00912E9B" w:rsidRPr="00912E9B" w14:paraId="7EAB746D" w14:textId="77777777" w:rsidTr="1CA2DFCF">
        <w:trPr>
          <w:cantSplit/>
        </w:trPr>
        <w:tc>
          <w:tcPr>
            <w:tcW w:w="2298" w:type="dxa"/>
            <w:shd w:val="clear" w:color="auto" w:fill="auto"/>
            <w:vAlign w:val="center"/>
          </w:tcPr>
          <w:p w14:paraId="565A5BEA" w14:textId="345D0F15" w:rsidR="00DD38CC" w:rsidRPr="00912E9B" w:rsidRDefault="00DD38CC" w:rsidP="00DD38CC">
            <w:pPr>
              <w:pStyle w:val="CERGlossaryTerm"/>
              <w:rPr>
                <w:rFonts w:asciiTheme="majorHAnsi" w:hAnsiTheme="majorHAnsi" w:cstheme="majorHAnsi"/>
                <w:sz w:val="22"/>
                <w:szCs w:val="22"/>
              </w:rPr>
            </w:pPr>
            <w:r w:rsidRPr="00912E9B">
              <w:rPr>
                <w:rFonts w:asciiTheme="minorHAnsi" w:hAnsiTheme="minorHAnsi" w:cstheme="minorHAnsi"/>
                <w:sz w:val="22"/>
                <w:szCs w:val="22"/>
              </w:rPr>
              <w:lastRenderedPageBreak/>
              <w:t xml:space="preserve">Jurisdiction </w:t>
            </w:r>
          </w:p>
        </w:tc>
        <w:tc>
          <w:tcPr>
            <w:tcW w:w="7088" w:type="dxa"/>
            <w:shd w:val="clear" w:color="auto" w:fill="auto"/>
          </w:tcPr>
          <w:p w14:paraId="6384F4AD" w14:textId="00C4685B" w:rsidR="00DD38CC" w:rsidRPr="00912E9B" w:rsidRDefault="00DD38CC" w:rsidP="00DD38CC">
            <w:pPr>
              <w:pStyle w:val="CERGlossaryDefinition"/>
            </w:pPr>
            <w:r w:rsidRPr="00912E9B">
              <w:rPr>
                <w:rFonts w:asciiTheme="minorHAnsi" w:hAnsiTheme="minorHAnsi" w:cstheme="minorHAnsi"/>
                <w:sz w:val="22"/>
                <w:szCs w:val="22"/>
              </w:rPr>
              <w:t xml:space="preserve">means </w:t>
            </w:r>
            <w:r w:rsidR="00B26C57" w:rsidRPr="00912E9B">
              <w:rPr>
                <w:rFonts w:asciiTheme="minorHAnsi" w:hAnsiTheme="minorHAnsi" w:cstheme="minorHAnsi"/>
                <w:sz w:val="22"/>
                <w:szCs w:val="22"/>
              </w:rPr>
              <w:t xml:space="preserve">the Jurisdiction </w:t>
            </w:r>
            <w:r w:rsidRPr="00912E9B">
              <w:rPr>
                <w:rFonts w:asciiTheme="minorHAnsi" w:hAnsiTheme="minorHAnsi" w:cstheme="minorHAnsi"/>
                <w:sz w:val="22"/>
                <w:szCs w:val="22"/>
              </w:rPr>
              <w:t>Albania or Kosovo or both as appropriate.</w:t>
            </w:r>
          </w:p>
        </w:tc>
      </w:tr>
      <w:tr w:rsidR="00912E9B" w:rsidRPr="00912E9B" w14:paraId="57CF2D35" w14:textId="77777777" w:rsidTr="1CA2DFCF">
        <w:trPr>
          <w:cantSplit/>
        </w:trPr>
        <w:tc>
          <w:tcPr>
            <w:tcW w:w="2298" w:type="dxa"/>
            <w:shd w:val="clear" w:color="auto" w:fill="auto"/>
            <w:vAlign w:val="center"/>
          </w:tcPr>
          <w:p w14:paraId="2D024B70" w14:textId="2A04988C"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Kosovo</w:t>
            </w:r>
          </w:p>
        </w:tc>
        <w:tc>
          <w:tcPr>
            <w:tcW w:w="7088" w:type="dxa"/>
            <w:shd w:val="clear" w:color="auto" w:fill="auto"/>
          </w:tcPr>
          <w:p w14:paraId="4C14DF81" w14:textId="0D5CE969" w:rsidR="00DD38CC" w:rsidRPr="00912E9B" w:rsidRDefault="00DD38CC" w:rsidP="00DD38CC">
            <w:pPr>
              <w:pStyle w:val="CERGlossaryDefinition"/>
            </w:pPr>
            <w:r w:rsidRPr="00912E9B">
              <w:rPr>
                <w:rFonts w:asciiTheme="majorHAnsi" w:hAnsiTheme="majorHAnsi" w:cstheme="majorHAnsi"/>
                <w:sz w:val="22"/>
                <w:szCs w:val="22"/>
              </w:rPr>
              <w:t>means the Republic of Kosovo.</w:t>
            </w:r>
          </w:p>
        </w:tc>
      </w:tr>
      <w:tr w:rsidR="00912E9B" w:rsidRPr="00912E9B" w14:paraId="6072DB2F" w14:textId="77777777" w:rsidTr="1CA2DFCF">
        <w:trPr>
          <w:cantSplit/>
        </w:trPr>
        <w:tc>
          <w:tcPr>
            <w:tcW w:w="2298" w:type="dxa"/>
            <w:shd w:val="clear" w:color="auto" w:fill="auto"/>
            <w:vAlign w:val="center"/>
          </w:tcPr>
          <w:p w14:paraId="1825239F" w14:textId="2F708DFE" w:rsidR="00DD38CC" w:rsidRPr="00912E9B" w:rsidRDefault="00DD38CC" w:rsidP="00DD38CC">
            <w:pPr>
              <w:pStyle w:val="CERGlossaryTerm"/>
              <w:rPr>
                <w:rFonts w:asciiTheme="majorHAnsi" w:hAnsiTheme="majorHAnsi" w:cstheme="majorHAnsi"/>
                <w:sz w:val="22"/>
                <w:szCs w:val="22"/>
              </w:rPr>
            </w:pPr>
            <w:r w:rsidRPr="00912E9B">
              <w:rPr>
                <w:rFonts w:asciiTheme="majorHAnsi" w:hAnsiTheme="majorHAnsi" w:cstheme="majorHAnsi"/>
                <w:sz w:val="22"/>
                <w:szCs w:val="22"/>
              </w:rPr>
              <w:t>Leaf block</w:t>
            </w:r>
          </w:p>
        </w:tc>
        <w:tc>
          <w:tcPr>
            <w:tcW w:w="7088" w:type="dxa"/>
            <w:shd w:val="clear" w:color="auto" w:fill="auto"/>
          </w:tcPr>
          <w:p w14:paraId="63D43E9C" w14:textId="1FA953E8" w:rsidR="00DD38CC" w:rsidRPr="00912E9B" w:rsidRDefault="00DD38CC" w:rsidP="00DD38CC">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block order without child blocks</w:t>
            </w:r>
          </w:p>
        </w:tc>
      </w:tr>
      <w:tr w:rsidR="00912E9B" w:rsidRPr="00912E9B" w14:paraId="4F602576" w14:textId="77777777" w:rsidTr="1CA2DFCF">
        <w:trPr>
          <w:cantSplit/>
        </w:trPr>
        <w:tc>
          <w:tcPr>
            <w:tcW w:w="2298" w:type="dxa"/>
            <w:shd w:val="clear" w:color="auto" w:fill="auto"/>
            <w:vAlign w:val="center"/>
          </w:tcPr>
          <w:p w14:paraId="4BD2262A" w14:textId="3CD230F6" w:rsidR="004F1D7C" w:rsidRPr="00912E9B" w:rsidRDefault="004F1D7C" w:rsidP="004F1D7C">
            <w:pPr>
              <w:pStyle w:val="CERGlossaryTerm"/>
              <w:rPr>
                <w:rFonts w:asciiTheme="majorHAnsi" w:hAnsiTheme="majorHAnsi" w:cstheme="majorHAnsi"/>
                <w:sz w:val="22"/>
                <w:szCs w:val="22"/>
              </w:rPr>
            </w:pPr>
            <w:r w:rsidRPr="00912E9B">
              <w:rPr>
                <w:rFonts w:asciiTheme="majorHAnsi" w:hAnsiTheme="majorHAnsi" w:cstheme="majorHAnsi"/>
                <w:sz w:val="22"/>
                <w:szCs w:val="22"/>
              </w:rPr>
              <w:t>Legal Requirement</w:t>
            </w:r>
          </w:p>
        </w:tc>
        <w:tc>
          <w:tcPr>
            <w:tcW w:w="7088" w:type="dxa"/>
            <w:shd w:val="clear" w:color="auto" w:fill="auto"/>
          </w:tcPr>
          <w:p w14:paraId="580EEB27" w14:textId="66AD313F" w:rsidR="004F1D7C" w:rsidRPr="00912E9B" w:rsidRDefault="004F1D7C" w:rsidP="004F1D7C">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any requirement from primary and secondary legislation, statute, order, rule, regulation and the terms of any licenses or permit issued by any relevant governmental authority.</w:t>
            </w:r>
          </w:p>
        </w:tc>
      </w:tr>
      <w:tr w:rsidR="00912E9B" w:rsidRPr="00912E9B" w14:paraId="2258F844" w14:textId="77777777" w:rsidTr="1CA2DFCF">
        <w:trPr>
          <w:cantSplit/>
        </w:trPr>
        <w:tc>
          <w:tcPr>
            <w:tcW w:w="2298" w:type="dxa"/>
            <w:shd w:val="clear" w:color="auto" w:fill="auto"/>
            <w:vAlign w:val="center"/>
          </w:tcPr>
          <w:p w14:paraId="34B19E3F" w14:textId="4909D99F" w:rsidR="004F1D7C" w:rsidRPr="00912E9B" w:rsidRDefault="004F1D7C" w:rsidP="004F1D7C">
            <w:pPr>
              <w:pStyle w:val="CERGlossaryTerm"/>
              <w:rPr>
                <w:rFonts w:asciiTheme="majorHAnsi" w:hAnsiTheme="majorHAnsi" w:cstheme="majorHAnsi"/>
                <w:sz w:val="22"/>
                <w:szCs w:val="22"/>
              </w:rPr>
            </w:pPr>
            <w:r w:rsidRPr="00912E9B">
              <w:rPr>
                <w:rFonts w:asciiTheme="majorHAnsi" w:hAnsiTheme="majorHAnsi" w:cstheme="majorHAnsi"/>
                <w:sz w:val="22"/>
                <w:szCs w:val="22"/>
              </w:rPr>
              <w:t>Lek</w:t>
            </w:r>
          </w:p>
        </w:tc>
        <w:tc>
          <w:tcPr>
            <w:tcW w:w="7088" w:type="dxa"/>
            <w:shd w:val="clear" w:color="auto" w:fill="auto"/>
          </w:tcPr>
          <w:p w14:paraId="1D10A364" w14:textId="1AD60702" w:rsidR="004F1D7C" w:rsidRPr="00912E9B" w:rsidRDefault="004F1D7C" w:rsidP="004F1D7C">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w:t>
            </w:r>
            <w:r w:rsidRPr="00912E9B">
              <w:rPr>
                <w:rFonts w:asciiTheme="majorHAnsi" w:hAnsiTheme="majorHAnsi" w:cstheme="majorHAnsi"/>
                <w:sz w:val="22"/>
                <w:szCs w:val="22"/>
                <w:shd w:val="clear" w:color="auto" w:fill="FFFFFF"/>
              </w:rPr>
              <w:t>the monetary unit and currency of Albania, represented by the symbol ALL</w:t>
            </w:r>
            <w:r w:rsidRPr="00912E9B">
              <w:rPr>
                <w:rFonts w:asciiTheme="majorHAnsi" w:hAnsiTheme="majorHAnsi" w:cstheme="majorHAnsi"/>
                <w:sz w:val="22"/>
                <w:szCs w:val="22"/>
              </w:rPr>
              <w:t>.</w:t>
            </w:r>
          </w:p>
        </w:tc>
      </w:tr>
      <w:tr w:rsidR="00912E9B" w:rsidRPr="00912E9B" w14:paraId="74183459" w14:textId="77777777" w:rsidTr="1CA2DFCF">
        <w:trPr>
          <w:cantSplit/>
        </w:trPr>
        <w:tc>
          <w:tcPr>
            <w:tcW w:w="2298" w:type="dxa"/>
            <w:shd w:val="clear" w:color="auto" w:fill="auto"/>
            <w:vAlign w:val="center"/>
          </w:tcPr>
          <w:p w14:paraId="1DD098EC" w14:textId="27946436" w:rsidR="004F1D7C" w:rsidRPr="00912E9B" w:rsidRDefault="004F1D7C" w:rsidP="004F1D7C">
            <w:pPr>
              <w:pStyle w:val="CERGlossaryTerm"/>
              <w:rPr>
                <w:rFonts w:asciiTheme="majorHAnsi" w:hAnsiTheme="majorHAnsi" w:cstheme="majorHAnsi"/>
                <w:sz w:val="22"/>
                <w:szCs w:val="22"/>
              </w:rPr>
            </w:pPr>
            <w:r w:rsidRPr="00912E9B">
              <w:rPr>
                <w:rFonts w:asciiTheme="minorHAnsi" w:hAnsiTheme="minorHAnsi" w:cstheme="minorHAnsi"/>
                <w:sz w:val="22"/>
                <w:szCs w:val="22"/>
              </w:rPr>
              <w:t>Letter of Guarantee</w:t>
            </w:r>
          </w:p>
        </w:tc>
        <w:tc>
          <w:tcPr>
            <w:tcW w:w="7088" w:type="dxa"/>
            <w:shd w:val="clear" w:color="auto" w:fill="auto"/>
          </w:tcPr>
          <w:p w14:paraId="66876AC7" w14:textId="031E18AB" w:rsidR="004F1D7C" w:rsidRPr="00912E9B" w:rsidRDefault="004F1D7C" w:rsidP="004F1D7C">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a document issued by Bank that ensures ALPEX gets paid for the obligation arise from the Transaction in the </w:t>
            </w:r>
            <w:r w:rsidR="00C80FCA" w:rsidRPr="00912E9B">
              <w:rPr>
                <w:rFonts w:asciiTheme="minorHAnsi" w:hAnsiTheme="minorHAnsi" w:cstheme="minorHAnsi"/>
                <w:sz w:val="22"/>
                <w:szCs w:val="22"/>
              </w:rPr>
              <w:t>ALPEX</w:t>
            </w:r>
            <w:r w:rsidRPr="00912E9B">
              <w:rPr>
                <w:rFonts w:asciiTheme="minorHAnsi" w:hAnsiTheme="minorHAnsi" w:cstheme="minorHAnsi"/>
                <w:sz w:val="22"/>
                <w:szCs w:val="22"/>
              </w:rPr>
              <w:t xml:space="preserve"> Market</w:t>
            </w:r>
            <w:r w:rsidR="00C80FCA" w:rsidRPr="00912E9B">
              <w:rPr>
                <w:rFonts w:asciiTheme="minorHAnsi" w:hAnsiTheme="minorHAnsi" w:cstheme="minorHAnsi"/>
                <w:sz w:val="22"/>
                <w:szCs w:val="22"/>
              </w:rPr>
              <w:t>s</w:t>
            </w:r>
            <w:r w:rsidRPr="00912E9B">
              <w:rPr>
                <w:rFonts w:asciiTheme="minorHAnsi" w:hAnsiTheme="minorHAnsi" w:cstheme="minorHAnsi"/>
                <w:sz w:val="22"/>
                <w:szCs w:val="22"/>
              </w:rPr>
              <w:t xml:space="preserve">, </w:t>
            </w:r>
            <w:proofErr w:type="gramStart"/>
            <w:r w:rsidRPr="00912E9B">
              <w:rPr>
                <w:rFonts w:asciiTheme="minorHAnsi" w:hAnsiTheme="minorHAnsi" w:cstheme="minorHAnsi"/>
                <w:sz w:val="22"/>
                <w:szCs w:val="22"/>
              </w:rPr>
              <w:t>in the event that</w:t>
            </w:r>
            <w:proofErr w:type="gramEnd"/>
            <w:r w:rsidRPr="00912E9B">
              <w:rPr>
                <w:rFonts w:asciiTheme="minorHAnsi" w:hAnsiTheme="minorHAnsi" w:cstheme="minorHAnsi"/>
                <w:sz w:val="22"/>
                <w:szCs w:val="22"/>
              </w:rPr>
              <w:t xml:space="preserve"> a respective Clearing Member will be in Default. Its form set out in Technical Decision.</w:t>
            </w:r>
          </w:p>
        </w:tc>
      </w:tr>
      <w:tr w:rsidR="00912E9B" w:rsidRPr="00912E9B" w14:paraId="5B1CA062" w14:textId="77777777" w:rsidTr="1CA2DFCF">
        <w:trPr>
          <w:cantSplit/>
        </w:trPr>
        <w:tc>
          <w:tcPr>
            <w:tcW w:w="2298" w:type="dxa"/>
            <w:shd w:val="clear" w:color="auto" w:fill="auto"/>
            <w:vAlign w:val="center"/>
          </w:tcPr>
          <w:p w14:paraId="226A62AB" w14:textId="0834A926" w:rsidR="004F1D7C" w:rsidRPr="00912E9B" w:rsidRDefault="004F1D7C" w:rsidP="004F1D7C">
            <w:pPr>
              <w:pStyle w:val="CERGlossaryTerm"/>
              <w:rPr>
                <w:rFonts w:asciiTheme="majorHAnsi" w:hAnsiTheme="majorHAnsi" w:cstheme="majorHAnsi"/>
                <w:sz w:val="22"/>
                <w:szCs w:val="22"/>
              </w:rPr>
            </w:pPr>
            <w:r w:rsidRPr="00912E9B">
              <w:rPr>
                <w:rFonts w:asciiTheme="majorHAnsi" w:hAnsiTheme="majorHAnsi" w:cstheme="majorHAnsi"/>
                <w:sz w:val="22"/>
                <w:szCs w:val="22"/>
              </w:rPr>
              <w:t>License</w:t>
            </w:r>
          </w:p>
        </w:tc>
        <w:tc>
          <w:tcPr>
            <w:tcW w:w="7088" w:type="dxa"/>
            <w:shd w:val="clear" w:color="auto" w:fill="auto"/>
          </w:tcPr>
          <w:p w14:paraId="66580DF7" w14:textId="001BD4A7" w:rsidR="004F1D7C" w:rsidRPr="00912E9B" w:rsidRDefault="004F1D7C" w:rsidP="004F1D7C">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means a right given to a legal entity for exercising an activity in the electricity sector, including but not limited to, electricity generation license, electricity supply license, electricity trader license, Transmission System Operator license, Distribution System Operator license, Market Operator license or any other relevant license as the context may require, granted by a Regulatory Authority. </w:t>
            </w:r>
          </w:p>
        </w:tc>
      </w:tr>
      <w:tr w:rsidR="00912E9B" w:rsidRPr="00912E9B" w14:paraId="3ADA9AD3" w14:textId="77777777" w:rsidTr="1CA2DFCF">
        <w:trPr>
          <w:cantSplit/>
        </w:trPr>
        <w:tc>
          <w:tcPr>
            <w:tcW w:w="2298" w:type="dxa"/>
            <w:shd w:val="clear" w:color="auto" w:fill="auto"/>
            <w:vAlign w:val="center"/>
          </w:tcPr>
          <w:p w14:paraId="363C1C88" w14:textId="76214C91" w:rsidR="004F1D7C" w:rsidRPr="00912E9B" w:rsidRDefault="004F1D7C" w:rsidP="004F1D7C">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 xml:space="preserve">LIDA-1 </w:t>
            </w:r>
          </w:p>
        </w:tc>
        <w:tc>
          <w:tcPr>
            <w:tcW w:w="7088" w:type="dxa"/>
            <w:shd w:val="clear" w:color="auto" w:fill="auto"/>
          </w:tcPr>
          <w:p w14:paraId="3B1F4D05" w14:textId="53024ED2" w:rsidR="004F1D7C" w:rsidRPr="00912E9B" w:rsidRDefault="004F1D7C" w:rsidP="004F1D7C">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first Local Intraday Auction, involving the AL or KS Bidding Zones in separate, conducted for a Delivery Day covering the Market Time Units in the Delivery Day specified in the chart in paragraph A.2.4.6 of the Trading Procedures.</w:t>
            </w:r>
          </w:p>
        </w:tc>
      </w:tr>
      <w:tr w:rsidR="00912E9B" w:rsidRPr="00912E9B" w14:paraId="43DD8751" w14:textId="77777777" w:rsidTr="00D40051">
        <w:trPr>
          <w:cantSplit/>
        </w:trPr>
        <w:tc>
          <w:tcPr>
            <w:tcW w:w="2298" w:type="dxa"/>
            <w:shd w:val="clear" w:color="auto" w:fill="auto"/>
            <w:vAlign w:val="center"/>
          </w:tcPr>
          <w:p w14:paraId="1CB4A4FD" w14:textId="278184A0" w:rsidR="004F1D7C" w:rsidRPr="00912E9B" w:rsidRDefault="004F1D7C" w:rsidP="004F1D7C">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LIDA-2</w:t>
            </w:r>
          </w:p>
        </w:tc>
        <w:tc>
          <w:tcPr>
            <w:tcW w:w="7088" w:type="dxa"/>
            <w:shd w:val="clear" w:color="auto" w:fill="auto"/>
            <w:vAlign w:val="center"/>
          </w:tcPr>
          <w:p w14:paraId="592A391A" w14:textId="63D2F7F4" w:rsidR="004F1D7C" w:rsidRPr="00912E9B" w:rsidRDefault="004F1D7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 xml:space="preserve">The second Local Intraday Auction, involving the AL or KS Bidding Zones in separate, conducted for a Delivery Day </w:t>
            </w:r>
            <w:r w:rsidRPr="00912E9B">
              <w:rPr>
                <w:rFonts w:asciiTheme="majorHAnsi" w:hAnsiTheme="majorHAnsi" w:cstheme="majorHAnsi"/>
                <w:sz w:val="22"/>
                <w:szCs w:val="22"/>
                <w:lang w:val="en-US"/>
              </w:rPr>
              <w:t xml:space="preserve">covering </w:t>
            </w:r>
            <w:r w:rsidRPr="00912E9B">
              <w:rPr>
                <w:rFonts w:asciiTheme="majorHAnsi" w:hAnsiTheme="majorHAnsi" w:cstheme="majorHAnsi"/>
                <w:sz w:val="22"/>
                <w:szCs w:val="22"/>
              </w:rPr>
              <w:t>the Market Time Units in the Delivery Day specified in the chart in paragraph A.2.4.6 of the Trading Procedures.</w:t>
            </w:r>
          </w:p>
        </w:tc>
      </w:tr>
      <w:tr w:rsidR="00912E9B" w:rsidRPr="00912E9B" w14:paraId="46AFCCD4" w14:textId="77777777" w:rsidTr="00D40051">
        <w:trPr>
          <w:cantSplit/>
        </w:trPr>
        <w:tc>
          <w:tcPr>
            <w:tcW w:w="2298" w:type="dxa"/>
            <w:shd w:val="clear" w:color="auto" w:fill="auto"/>
            <w:vAlign w:val="center"/>
          </w:tcPr>
          <w:p w14:paraId="1187EA0C" w14:textId="3D1B7233" w:rsidR="004F1D7C" w:rsidRPr="00912E9B" w:rsidRDefault="004F1D7C" w:rsidP="004F1D7C">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LIDA-3</w:t>
            </w:r>
          </w:p>
        </w:tc>
        <w:tc>
          <w:tcPr>
            <w:tcW w:w="7088" w:type="dxa"/>
            <w:shd w:val="clear" w:color="auto" w:fill="auto"/>
            <w:vAlign w:val="center"/>
          </w:tcPr>
          <w:p w14:paraId="262A7AA5" w14:textId="7E1A5078" w:rsidR="004F1D7C" w:rsidRPr="00912E9B" w:rsidRDefault="004F1D7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The third Local Intraday Auction, involving the AL or KS Bidding Zones in separate, conducted for a Delivery Day covering the Market Time Units in the Delivery Day specified in the chart in paragraph A.2.4.6 of the Trading Procedures.</w:t>
            </w:r>
          </w:p>
        </w:tc>
      </w:tr>
      <w:tr w:rsidR="00912E9B" w:rsidRPr="00912E9B" w14:paraId="6CA9404A" w14:textId="77777777" w:rsidTr="00D40051">
        <w:trPr>
          <w:cantSplit/>
        </w:trPr>
        <w:tc>
          <w:tcPr>
            <w:tcW w:w="2298" w:type="dxa"/>
            <w:shd w:val="clear" w:color="auto" w:fill="auto"/>
            <w:vAlign w:val="center"/>
          </w:tcPr>
          <w:p w14:paraId="523F205A" w14:textId="7C711D72" w:rsidR="004F1D7C" w:rsidRPr="00912E9B" w:rsidRDefault="004F1D7C" w:rsidP="004F1D7C">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Linked Block Orders</w:t>
            </w:r>
          </w:p>
        </w:tc>
        <w:tc>
          <w:tcPr>
            <w:tcW w:w="7088" w:type="dxa"/>
            <w:shd w:val="clear" w:color="auto" w:fill="auto"/>
            <w:vAlign w:val="center"/>
          </w:tcPr>
          <w:p w14:paraId="5AC903F2" w14:textId="5A17F588" w:rsidR="004F1D7C" w:rsidRPr="00912E9B" w:rsidRDefault="004F1D7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A group of Block Orders, featuring the properties and specific conditions as provided in paragraph F.1.8 of the Trading Procedures.</w:t>
            </w:r>
          </w:p>
        </w:tc>
      </w:tr>
      <w:tr w:rsidR="00912E9B" w:rsidRPr="00912E9B" w14:paraId="5AAF12BB" w14:textId="77777777" w:rsidTr="00D40051">
        <w:trPr>
          <w:cantSplit/>
        </w:trPr>
        <w:tc>
          <w:tcPr>
            <w:tcW w:w="2298" w:type="dxa"/>
            <w:shd w:val="clear" w:color="auto" w:fill="auto"/>
            <w:vAlign w:val="center"/>
          </w:tcPr>
          <w:p w14:paraId="6FB45C2C" w14:textId="29875434" w:rsidR="004F1D7C" w:rsidRPr="00912E9B" w:rsidRDefault="004F1D7C" w:rsidP="004F1D7C">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Local Auction</w:t>
            </w:r>
          </w:p>
        </w:tc>
        <w:tc>
          <w:tcPr>
            <w:tcW w:w="7088" w:type="dxa"/>
            <w:shd w:val="clear" w:color="auto" w:fill="auto"/>
            <w:vAlign w:val="center"/>
          </w:tcPr>
          <w:p w14:paraId="754106CE" w14:textId="7691DFF7" w:rsidR="004F1D7C" w:rsidRPr="00912E9B" w:rsidRDefault="004F1D7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An Auction conducted within a Bidding Zone only.</w:t>
            </w:r>
          </w:p>
        </w:tc>
      </w:tr>
      <w:tr w:rsidR="00912E9B" w:rsidRPr="00912E9B" w14:paraId="6B1ADA9A" w14:textId="77777777" w:rsidTr="00D40051">
        <w:trPr>
          <w:cantSplit/>
        </w:trPr>
        <w:tc>
          <w:tcPr>
            <w:tcW w:w="2298" w:type="dxa"/>
            <w:shd w:val="clear" w:color="auto" w:fill="auto"/>
            <w:vAlign w:val="center"/>
          </w:tcPr>
          <w:p w14:paraId="256F8DFB" w14:textId="59959863" w:rsidR="004F1D7C" w:rsidRPr="00912E9B" w:rsidRDefault="004F1D7C" w:rsidP="004F1D7C">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rPr>
              <w:t>Local Intra</w:t>
            </w:r>
            <w:r w:rsidR="006E1EBF" w:rsidRPr="00912E9B">
              <w:rPr>
                <w:rFonts w:asciiTheme="majorHAnsi" w:hAnsiTheme="majorHAnsi" w:cstheme="majorHAnsi"/>
                <w:sz w:val="22"/>
                <w:szCs w:val="22"/>
              </w:rPr>
              <w:t>d</w:t>
            </w:r>
            <w:r w:rsidRPr="00912E9B">
              <w:rPr>
                <w:rFonts w:asciiTheme="majorHAnsi" w:hAnsiTheme="majorHAnsi" w:cstheme="majorHAnsi"/>
                <w:sz w:val="22"/>
                <w:szCs w:val="22"/>
              </w:rPr>
              <w:t>ay Auctions (LIDA)</w:t>
            </w:r>
          </w:p>
        </w:tc>
        <w:tc>
          <w:tcPr>
            <w:tcW w:w="7088" w:type="dxa"/>
            <w:shd w:val="clear" w:color="auto" w:fill="auto"/>
            <w:vAlign w:val="center"/>
          </w:tcPr>
          <w:p w14:paraId="43A6A528" w14:textId="4205C95E" w:rsidR="004F1D7C" w:rsidRPr="00912E9B" w:rsidRDefault="004F1D7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an Intraday Auction, involving the AL or KS Bidding Zones in separate.</w:t>
            </w:r>
          </w:p>
        </w:tc>
      </w:tr>
      <w:tr w:rsidR="009B7A31" w:rsidRPr="00912E9B" w14:paraId="04566F42" w14:textId="77777777" w:rsidTr="00D40051">
        <w:trPr>
          <w:cantSplit/>
        </w:trPr>
        <w:tc>
          <w:tcPr>
            <w:tcW w:w="2298" w:type="dxa"/>
            <w:shd w:val="clear" w:color="auto" w:fill="auto"/>
            <w:vAlign w:val="center"/>
          </w:tcPr>
          <w:p w14:paraId="12A79829" w14:textId="545D7B3D" w:rsidR="004F1D7C" w:rsidRPr="00912E9B" w:rsidRDefault="004F1D7C" w:rsidP="004F1D7C">
            <w:pPr>
              <w:pStyle w:val="CERGlossaryTerm"/>
              <w:rPr>
                <w:rFonts w:asciiTheme="majorHAnsi" w:hAnsiTheme="majorHAnsi" w:cstheme="majorHAnsi"/>
                <w:sz w:val="22"/>
                <w:szCs w:val="22"/>
              </w:rPr>
            </w:pPr>
            <w:r w:rsidRPr="00912E9B">
              <w:rPr>
                <w:rFonts w:asciiTheme="majorHAnsi" w:hAnsiTheme="majorHAnsi" w:cstheme="majorHAnsi"/>
                <w:sz w:val="22"/>
                <w:szCs w:val="22"/>
                <w:lang w:val="en-US"/>
              </w:rPr>
              <w:t>Local Order Book</w:t>
            </w:r>
          </w:p>
        </w:tc>
        <w:tc>
          <w:tcPr>
            <w:tcW w:w="7088" w:type="dxa"/>
            <w:shd w:val="clear" w:color="auto" w:fill="auto"/>
            <w:vAlign w:val="center"/>
          </w:tcPr>
          <w:p w14:paraId="4285067B" w14:textId="214DAD00" w:rsidR="004F1D7C" w:rsidRPr="00912E9B" w:rsidRDefault="004F1D7C" w:rsidP="00D40051">
            <w:pPr>
              <w:pStyle w:val="CERGlossaryDefinition"/>
              <w:rPr>
                <w:rFonts w:asciiTheme="majorHAnsi" w:hAnsiTheme="majorHAnsi" w:cstheme="majorHAnsi"/>
                <w:sz w:val="22"/>
                <w:szCs w:val="22"/>
              </w:rPr>
            </w:pPr>
            <w:r w:rsidRPr="00912E9B">
              <w:rPr>
                <w:rFonts w:asciiTheme="majorHAnsi" w:hAnsiTheme="majorHAnsi" w:cstheme="majorHAnsi"/>
                <w:sz w:val="22"/>
                <w:szCs w:val="22"/>
              </w:rPr>
              <w:t>means a book of Orders operated by a separate NEMO.</w:t>
            </w:r>
          </w:p>
        </w:tc>
      </w:tr>
    </w:tbl>
    <w:p w14:paraId="585C3DC2" w14:textId="77777777" w:rsidR="00E560DF" w:rsidRPr="00912E9B" w:rsidRDefault="00E560DF">
      <w:pPr>
        <w:rPr>
          <w:rFonts w:asciiTheme="majorHAnsi" w:hAnsiTheme="majorHAnsi" w:cstheme="majorHAnsi"/>
          <w:b/>
          <w:sz w:val="22"/>
          <w:szCs w:val="22"/>
        </w:rPr>
      </w:pPr>
    </w:p>
    <w:p w14:paraId="65BA2C3E" w14:textId="77777777" w:rsidR="00E560DF" w:rsidRPr="00912E9B" w:rsidRDefault="00E560DF" w:rsidP="005D5C4B">
      <w:pPr>
        <w:pStyle w:val="CERLEVEL1"/>
        <w:numPr>
          <w:ilvl w:val="0"/>
          <w:numId w:val="0"/>
        </w:numPr>
        <w:rPr>
          <w:rFonts w:asciiTheme="majorHAnsi" w:hAnsiTheme="majorHAnsi" w:cstheme="majorHAnsi"/>
          <w:sz w:val="22"/>
        </w:rPr>
      </w:pPr>
      <w:r w:rsidRPr="00912E9B">
        <w:rPr>
          <w:rFonts w:asciiTheme="majorHAnsi" w:hAnsiTheme="majorHAnsi" w:cstheme="majorHAnsi"/>
          <w:sz w:val="22"/>
        </w:rPr>
        <w:lastRenderedPageBreak/>
        <w:t>M</w:t>
      </w:r>
      <w:r w:rsidR="005D5C4B" w:rsidRPr="00912E9B">
        <w:rPr>
          <w:rFonts w:asciiTheme="majorHAnsi" w:hAnsiTheme="majorHAnsi" w:cstheme="majorHAnsi"/>
          <w:sz w:val="22"/>
        </w:rPr>
        <w:t xml:space="preserve"> </w:t>
      </w:r>
      <w:r w:rsidR="005D5C4B" w:rsidRPr="00912E9B">
        <w:rPr>
          <w:rFonts w:asciiTheme="majorHAnsi" w:hAnsiTheme="majorHAnsi" w:cstheme="majorHAnsi"/>
          <w:caps w:val="0"/>
          <w:sz w:val="22"/>
        </w:rPr>
        <w:t>to</w:t>
      </w:r>
      <w:r w:rsidR="005D5C4B" w:rsidRPr="00912E9B">
        <w:rPr>
          <w:rFonts w:asciiTheme="majorHAnsi" w:hAnsiTheme="majorHAnsi" w:cstheme="majorHAnsi"/>
          <w:sz w:val="22"/>
        </w:rPr>
        <w:t xml:space="preserve"> R</w:t>
      </w:r>
    </w:p>
    <w:tbl>
      <w:tblPr>
        <w:tblW w:w="9386"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7088"/>
      </w:tblGrid>
      <w:tr w:rsidR="00912E9B" w:rsidRPr="00912E9B" w14:paraId="29E980FA" w14:textId="77777777" w:rsidTr="00D40051">
        <w:trPr>
          <w:cantSplit/>
        </w:trPr>
        <w:tc>
          <w:tcPr>
            <w:tcW w:w="2298" w:type="dxa"/>
            <w:shd w:val="clear" w:color="auto" w:fill="auto"/>
            <w:vAlign w:val="center"/>
          </w:tcPr>
          <w:p w14:paraId="014D03D3" w14:textId="7C58D33F" w:rsidR="00A7396C" w:rsidRPr="00912E9B" w:rsidRDefault="00A7396C" w:rsidP="00A7396C">
            <w:pPr>
              <w:pStyle w:val="CERGlossaryTerm"/>
              <w:rPr>
                <w:rFonts w:asciiTheme="majorHAnsi" w:hAnsiTheme="majorHAnsi" w:cstheme="majorHAnsi"/>
                <w:sz w:val="22"/>
                <w:szCs w:val="22"/>
              </w:rPr>
            </w:pPr>
            <w:r w:rsidRPr="00912E9B">
              <w:rPr>
                <w:rFonts w:asciiTheme="minorHAnsi" w:hAnsiTheme="minorHAnsi" w:cstheme="minorHAnsi"/>
                <w:sz w:val="22"/>
                <w:szCs w:val="22"/>
              </w:rPr>
              <w:t>Margin</w:t>
            </w:r>
          </w:p>
        </w:tc>
        <w:tc>
          <w:tcPr>
            <w:tcW w:w="7088" w:type="dxa"/>
            <w:shd w:val="clear" w:color="auto" w:fill="auto"/>
            <w:vAlign w:val="center"/>
          </w:tcPr>
          <w:p w14:paraId="02985B0C" w14:textId="48D870C1" w:rsidR="00A7396C" w:rsidRPr="00912E9B" w:rsidRDefault="00A7396C" w:rsidP="00D40051">
            <w:pPr>
              <w:pStyle w:val="CERAppendixLevel2"/>
              <w:numPr>
                <w:ilvl w:val="0"/>
                <w:numId w:val="0"/>
              </w:numPr>
              <w:jc w:val="both"/>
              <w:rPr>
                <w:rFonts w:asciiTheme="majorHAnsi" w:hAnsiTheme="majorHAnsi" w:cstheme="majorHAnsi"/>
              </w:rPr>
            </w:pPr>
            <w:r w:rsidRPr="00912E9B">
              <w:rPr>
                <w:rFonts w:asciiTheme="majorHAnsi" w:hAnsiTheme="majorHAnsi" w:cstheme="majorHAnsi"/>
              </w:rPr>
              <w:t xml:space="preserve">The margin requirement that is calculated by ALPEX with respect to Clearing Members in accordance with the Clearing and Settlement Procedures </w:t>
            </w:r>
            <w:proofErr w:type="gramStart"/>
            <w:r w:rsidRPr="00912E9B">
              <w:rPr>
                <w:rFonts w:asciiTheme="majorHAnsi" w:hAnsiTheme="majorHAnsi" w:cstheme="majorHAnsi"/>
              </w:rPr>
              <w:t>in order to</w:t>
            </w:r>
            <w:proofErr w:type="gramEnd"/>
            <w:r w:rsidRPr="00912E9B">
              <w:rPr>
                <w:rFonts w:asciiTheme="majorHAnsi" w:hAnsiTheme="majorHAnsi" w:cstheme="majorHAnsi"/>
              </w:rPr>
              <w:t xml:space="preserve"> secure fulfilment of the cash obligations of Clearing Members to ALPEX in connection with the Electricity </w:t>
            </w:r>
            <w:r w:rsidR="00CB7914" w:rsidRPr="00912E9B">
              <w:rPr>
                <w:rFonts w:asciiTheme="majorHAnsi" w:hAnsiTheme="majorHAnsi" w:cstheme="majorHAnsi"/>
              </w:rPr>
              <w:t xml:space="preserve">Market </w:t>
            </w:r>
            <w:r w:rsidRPr="00912E9B">
              <w:rPr>
                <w:rFonts w:asciiTheme="majorHAnsi" w:hAnsiTheme="majorHAnsi" w:cstheme="majorHAnsi"/>
              </w:rPr>
              <w:t>Transactions cleared by the latter</w:t>
            </w:r>
          </w:p>
        </w:tc>
      </w:tr>
      <w:tr w:rsidR="00912E9B" w:rsidRPr="00912E9B" w14:paraId="3A186C26" w14:textId="77777777" w:rsidTr="00D40051">
        <w:trPr>
          <w:cantSplit/>
          <w:trHeight w:val="633"/>
        </w:trPr>
        <w:tc>
          <w:tcPr>
            <w:tcW w:w="2298" w:type="dxa"/>
            <w:shd w:val="clear" w:color="auto" w:fill="auto"/>
            <w:vAlign w:val="center"/>
          </w:tcPr>
          <w:p w14:paraId="7B30CFBA" w14:textId="2F15601D" w:rsidR="000A790C" w:rsidRPr="00912E9B" w:rsidRDefault="00D23D88" w:rsidP="00944B43">
            <w:pPr>
              <w:pStyle w:val="CERGlossaryTerm"/>
              <w:rPr>
                <w:rFonts w:asciiTheme="majorHAnsi" w:hAnsiTheme="majorHAnsi" w:cstheme="majorHAnsi"/>
                <w:sz w:val="22"/>
                <w:szCs w:val="22"/>
              </w:rPr>
            </w:pPr>
            <w:r w:rsidRPr="00912E9B">
              <w:rPr>
                <w:rFonts w:asciiTheme="majorHAnsi" w:hAnsiTheme="majorHAnsi" w:cstheme="majorHAnsi"/>
                <w:sz w:val="22"/>
                <w:szCs w:val="22"/>
              </w:rPr>
              <w:t>Market Clearing Price</w:t>
            </w:r>
          </w:p>
        </w:tc>
        <w:tc>
          <w:tcPr>
            <w:tcW w:w="7088" w:type="dxa"/>
            <w:shd w:val="clear" w:color="auto" w:fill="auto"/>
            <w:vAlign w:val="center"/>
          </w:tcPr>
          <w:p w14:paraId="1A9DFDA5" w14:textId="73ED82FE" w:rsidR="0024096F" w:rsidRPr="00912E9B" w:rsidRDefault="0024096F" w:rsidP="00D40051">
            <w:pPr>
              <w:pStyle w:val="CERAppendixLevel2"/>
              <w:numPr>
                <w:ilvl w:val="0"/>
                <w:numId w:val="0"/>
              </w:numPr>
              <w:jc w:val="both"/>
              <w:rPr>
                <w:rFonts w:asciiTheme="majorHAnsi" w:hAnsiTheme="majorHAnsi" w:cstheme="majorHAnsi"/>
              </w:rPr>
            </w:pPr>
            <w:r w:rsidRPr="00912E9B">
              <w:rPr>
                <w:rFonts w:asciiTheme="majorHAnsi" w:hAnsiTheme="majorHAnsi" w:cstheme="majorHAnsi"/>
              </w:rPr>
              <w:t xml:space="preserve">means the price determined by matching the highest accepted selling </w:t>
            </w:r>
            <w:r w:rsidR="005A46E5" w:rsidRPr="00912E9B">
              <w:rPr>
                <w:rFonts w:asciiTheme="majorHAnsi" w:hAnsiTheme="majorHAnsi" w:cstheme="majorHAnsi"/>
              </w:rPr>
              <w:t>O</w:t>
            </w:r>
            <w:r w:rsidRPr="00912E9B">
              <w:rPr>
                <w:rFonts w:asciiTheme="majorHAnsi" w:hAnsiTheme="majorHAnsi" w:cstheme="majorHAnsi"/>
              </w:rPr>
              <w:t xml:space="preserve">rder and the lowest accepted buying </w:t>
            </w:r>
            <w:r w:rsidR="005A46E5" w:rsidRPr="00912E9B">
              <w:rPr>
                <w:rFonts w:asciiTheme="majorHAnsi" w:hAnsiTheme="majorHAnsi" w:cstheme="majorHAnsi"/>
              </w:rPr>
              <w:t>O</w:t>
            </w:r>
            <w:r w:rsidRPr="00912E9B">
              <w:rPr>
                <w:rFonts w:asciiTheme="majorHAnsi" w:hAnsiTheme="majorHAnsi" w:cstheme="majorHAnsi"/>
              </w:rPr>
              <w:t>rder in the electricity market</w:t>
            </w:r>
          </w:p>
        </w:tc>
      </w:tr>
      <w:tr w:rsidR="00912E9B" w:rsidRPr="00912E9B" w14:paraId="4C9A7B27" w14:textId="77777777" w:rsidTr="00D40051">
        <w:trPr>
          <w:cantSplit/>
          <w:trHeight w:val="921"/>
        </w:trPr>
        <w:tc>
          <w:tcPr>
            <w:tcW w:w="2298" w:type="dxa"/>
            <w:shd w:val="clear" w:color="auto" w:fill="auto"/>
            <w:vAlign w:val="center"/>
          </w:tcPr>
          <w:p w14:paraId="396BE675" w14:textId="6BC22AB4" w:rsidR="00C025BD" w:rsidRPr="00912E9B" w:rsidRDefault="00C025BD" w:rsidP="00944B43">
            <w:pPr>
              <w:pStyle w:val="CERGlossaryTerm"/>
              <w:rPr>
                <w:rFonts w:asciiTheme="majorHAnsi" w:hAnsiTheme="majorHAnsi" w:cstheme="majorHAnsi"/>
                <w:sz w:val="22"/>
                <w:szCs w:val="22"/>
              </w:rPr>
            </w:pPr>
            <w:r w:rsidRPr="00912E9B">
              <w:rPr>
                <w:rFonts w:asciiTheme="majorHAnsi" w:hAnsiTheme="majorHAnsi" w:cstheme="majorHAnsi"/>
                <w:sz w:val="22"/>
                <w:szCs w:val="22"/>
              </w:rPr>
              <w:t>Market Conduct</w:t>
            </w:r>
          </w:p>
        </w:tc>
        <w:tc>
          <w:tcPr>
            <w:tcW w:w="7088" w:type="dxa"/>
            <w:shd w:val="clear" w:color="auto" w:fill="auto"/>
            <w:vAlign w:val="center"/>
          </w:tcPr>
          <w:p w14:paraId="7B74D84A" w14:textId="528CB60E" w:rsidR="00C025BD" w:rsidRPr="00912E9B" w:rsidRDefault="004D4FE3" w:rsidP="00D40051">
            <w:pPr>
              <w:pStyle w:val="CERAppendixLevel2"/>
              <w:numPr>
                <w:ilvl w:val="0"/>
                <w:numId w:val="0"/>
              </w:numPr>
              <w:jc w:val="both"/>
              <w:rPr>
                <w:rFonts w:asciiTheme="majorHAnsi" w:hAnsiTheme="majorHAnsi" w:cstheme="majorHAnsi"/>
              </w:rPr>
            </w:pPr>
            <w:r w:rsidRPr="00912E9B">
              <w:rPr>
                <w:rFonts w:asciiTheme="majorHAnsi" w:hAnsiTheme="majorHAnsi" w:cstheme="majorHAnsi"/>
              </w:rPr>
              <w:t>means the responsibility of each Exchange Members to ensure compliance with the ALPEX Rules</w:t>
            </w:r>
            <w:r w:rsidR="00595164" w:rsidRPr="00912E9B">
              <w:rPr>
                <w:rFonts w:asciiTheme="majorHAnsi" w:hAnsiTheme="majorHAnsi" w:cstheme="majorHAnsi"/>
              </w:rPr>
              <w:t xml:space="preserve"> and the Procedures</w:t>
            </w:r>
            <w:r w:rsidRPr="00912E9B">
              <w:rPr>
                <w:rFonts w:asciiTheme="majorHAnsi" w:hAnsiTheme="majorHAnsi" w:cstheme="majorHAnsi"/>
              </w:rPr>
              <w:t xml:space="preserve"> which must be </w:t>
            </w:r>
            <w:r w:rsidR="0072326D" w:rsidRPr="00912E9B">
              <w:rPr>
                <w:rFonts w:asciiTheme="majorHAnsi" w:hAnsiTheme="majorHAnsi" w:cstheme="majorHAnsi"/>
              </w:rPr>
              <w:t>always respected and complied with</w:t>
            </w:r>
            <w:r w:rsidRPr="00912E9B">
              <w:rPr>
                <w:rFonts w:asciiTheme="majorHAnsi" w:hAnsiTheme="majorHAnsi" w:cstheme="majorHAnsi"/>
              </w:rPr>
              <w:t>.</w:t>
            </w:r>
          </w:p>
        </w:tc>
      </w:tr>
      <w:tr w:rsidR="00912E9B" w:rsidRPr="00912E9B" w14:paraId="7C7716D0" w14:textId="77777777" w:rsidTr="00D40051">
        <w:trPr>
          <w:cantSplit/>
        </w:trPr>
        <w:tc>
          <w:tcPr>
            <w:tcW w:w="2298" w:type="dxa"/>
            <w:shd w:val="clear" w:color="auto" w:fill="auto"/>
            <w:vAlign w:val="center"/>
          </w:tcPr>
          <w:p w14:paraId="62B4BBBD" w14:textId="77777777" w:rsidR="00E82961" w:rsidRPr="00912E9B" w:rsidRDefault="00E82961" w:rsidP="00E82961">
            <w:pPr>
              <w:pStyle w:val="CERGlossaryTerm"/>
              <w:rPr>
                <w:rFonts w:asciiTheme="majorHAnsi" w:hAnsiTheme="majorHAnsi" w:cstheme="majorHAnsi"/>
                <w:sz w:val="22"/>
                <w:szCs w:val="22"/>
              </w:rPr>
            </w:pPr>
            <w:r w:rsidRPr="00912E9B">
              <w:rPr>
                <w:rFonts w:asciiTheme="majorHAnsi" w:hAnsiTheme="majorHAnsi" w:cstheme="majorHAnsi"/>
                <w:sz w:val="22"/>
                <w:szCs w:val="22"/>
              </w:rPr>
              <w:t>Market Coupling</w:t>
            </w:r>
          </w:p>
        </w:tc>
        <w:tc>
          <w:tcPr>
            <w:tcW w:w="7088" w:type="dxa"/>
            <w:shd w:val="clear" w:color="auto" w:fill="auto"/>
            <w:vAlign w:val="center"/>
          </w:tcPr>
          <w:p w14:paraId="0A33B36D" w14:textId="15C5056E" w:rsidR="00E82961" w:rsidRPr="00912E9B" w:rsidRDefault="00E82961" w:rsidP="00D40051">
            <w:pPr>
              <w:pStyle w:val="CERAppendixLevel2"/>
              <w:numPr>
                <w:ilvl w:val="0"/>
                <w:numId w:val="0"/>
              </w:numPr>
              <w:jc w:val="both"/>
              <w:rPr>
                <w:rFonts w:asciiTheme="majorHAnsi" w:hAnsiTheme="majorHAnsi" w:cstheme="majorHAnsi"/>
              </w:rPr>
            </w:pPr>
            <w:r w:rsidRPr="00912E9B">
              <w:rPr>
                <w:rFonts w:asciiTheme="majorHAnsi" w:hAnsiTheme="majorHAnsi" w:cstheme="majorHAnsi"/>
              </w:rPr>
              <w:t>means a mechanism to integrate electricity markets of different physical areas as well as implicit, market based and non-discriminatory methods for coordinated price formation and allocation of day ahead and intraday interconnection capacity</w:t>
            </w:r>
          </w:p>
        </w:tc>
      </w:tr>
      <w:tr w:rsidR="00912E9B" w:rsidRPr="00912E9B" w14:paraId="100008AE" w14:textId="77777777" w:rsidTr="00D40051">
        <w:trPr>
          <w:cantSplit/>
        </w:trPr>
        <w:tc>
          <w:tcPr>
            <w:tcW w:w="2298" w:type="dxa"/>
            <w:shd w:val="clear" w:color="auto" w:fill="auto"/>
            <w:vAlign w:val="center"/>
          </w:tcPr>
          <w:p w14:paraId="1555A0C4" w14:textId="7F6FFA7D" w:rsidR="00E82961" w:rsidRPr="00912E9B" w:rsidRDefault="00E82961" w:rsidP="00E82961">
            <w:pPr>
              <w:pStyle w:val="CERGlossaryTerm"/>
              <w:rPr>
                <w:rFonts w:asciiTheme="majorHAnsi" w:hAnsiTheme="majorHAnsi" w:cstheme="majorHAnsi"/>
                <w:sz w:val="22"/>
                <w:szCs w:val="22"/>
              </w:rPr>
            </w:pPr>
            <w:r w:rsidRPr="00912E9B">
              <w:rPr>
                <w:rFonts w:asciiTheme="majorHAnsi" w:hAnsiTheme="majorHAnsi" w:cstheme="majorHAnsi"/>
                <w:sz w:val="22"/>
                <w:szCs w:val="22"/>
              </w:rPr>
              <w:t>Market Coupling Contract</w:t>
            </w:r>
          </w:p>
        </w:tc>
        <w:tc>
          <w:tcPr>
            <w:tcW w:w="7088" w:type="dxa"/>
            <w:shd w:val="clear" w:color="auto" w:fill="auto"/>
            <w:vAlign w:val="center"/>
          </w:tcPr>
          <w:p w14:paraId="11053647" w14:textId="3C23C75B" w:rsidR="00E82961" w:rsidRPr="00912E9B" w:rsidRDefault="00E82961" w:rsidP="00D40051">
            <w:pPr>
              <w:pStyle w:val="CERAppendixLevel2"/>
              <w:numPr>
                <w:ilvl w:val="0"/>
                <w:numId w:val="0"/>
              </w:numPr>
              <w:rPr>
                <w:rFonts w:asciiTheme="majorHAnsi" w:hAnsiTheme="majorHAnsi" w:cstheme="majorHAnsi"/>
              </w:rPr>
            </w:pPr>
            <w:r w:rsidRPr="00912E9B">
              <w:rPr>
                <w:rFonts w:asciiTheme="majorHAnsi" w:hAnsiTheme="majorHAnsi" w:cstheme="majorHAnsi"/>
              </w:rPr>
              <w:t>means that Parties agree to fulfil obligations for selling or purchasing of electricity in ALPEX Market Coupling</w:t>
            </w:r>
          </w:p>
        </w:tc>
      </w:tr>
      <w:tr w:rsidR="00912E9B" w:rsidRPr="00912E9B" w14:paraId="46A67B3B" w14:textId="77777777" w:rsidTr="00D40051">
        <w:trPr>
          <w:cantSplit/>
        </w:trPr>
        <w:tc>
          <w:tcPr>
            <w:tcW w:w="2298" w:type="dxa"/>
            <w:shd w:val="clear" w:color="auto" w:fill="auto"/>
            <w:vAlign w:val="center"/>
          </w:tcPr>
          <w:p w14:paraId="7ED0EDBE" w14:textId="51C25A73"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Market Coupling Function Assets</w:t>
            </w:r>
          </w:p>
        </w:tc>
        <w:tc>
          <w:tcPr>
            <w:tcW w:w="7088" w:type="dxa"/>
            <w:shd w:val="clear" w:color="auto" w:fill="auto"/>
            <w:vAlign w:val="center"/>
          </w:tcPr>
          <w:p w14:paraId="303D9C6B" w14:textId="33177739" w:rsidR="007E4A51" w:rsidRPr="00912E9B" w:rsidRDefault="007E4A51" w:rsidP="00D40051">
            <w:pPr>
              <w:pStyle w:val="CERAppendixLevel2"/>
              <w:numPr>
                <w:ilvl w:val="0"/>
                <w:numId w:val="0"/>
              </w:numPr>
              <w:rPr>
                <w:rFonts w:asciiTheme="majorHAnsi" w:hAnsiTheme="majorHAnsi" w:cstheme="majorHAnsi"/>
              </w:rPr>
            </w:pPr>
            <w:r w:rsidRPr="00912E9B">
              <w:rPr>
                <w:rFonts w:asciiTheme="majorHAnsi" w:hAnsiTheme="majorHAnsi" w:cstheme="majorHAnsi"/>
              </w:rPr>
              <w:t xml:space="preserve">The Market Coupling Function Assets are the: </w:t>
            </w:r>
            <w:r w:rsidR="00AC4FC1" w:rsidRPr="00912E9B">
              <w:t>Price Matcher Broker</w:t>
            </w:r>
            <w:r w:rsidRPr="00912E9B">
              <w:rPr>
                <w:rFonts w:asciiTheme="majorHAnsi" w:hAnsiTheme="majorHAnsi" w:cstheme="majorHAnsi"/>
              </w:rPr>
              <w:t xml:space="preserve"> and EUPHEMIA</w:t>
            </w:r>
          </w:p>
        </w:tc>
      </w:tr>
      <w:tr w:rsidR="00912E9B" w:rsidRPr="00912E9B" w14:paraId="612F79EC" w14:textId="77777777" w:rsidTr="00D40051">
        <w:trPr>
          <w:cantSplit/>
        </w:trPr>
        <w:tc>
          <w:tcPr>
            <w:tcW w:w="2298" w:type="dxa"/>
            <w:shd w:val="clear" w:color="auto" w:fill="auto"/>
            <w:vAlign w:val="center"/>
          </w:tcPr>
          <w:p w14:paraId="780C9A19" w14:textId="34322C76" w:rsidR="007E4A51" w:rsidRPr="00912E9B" w:rsidRDefault="007E4A51" w:rsidP="007E4A51">
            <w:pPr>
              <w:pStyle w:val="CERGlossaryTerm"/>
              <w:rPr>
                <w:rFonts w:asciiTheme="majorHAnsi" w:hAnsiTheme="majorHAnsi" w:cstheme="majorBidi"/>
                <w:sz w:val="22"/>
                <w:szCs w:val="22"/>
              </w:rPr>
            </w:pPr>
            <w:r w:rsidRPr="00912E9B">
              <w:rPr>
                <w:rFonts w:asciiTheme="majorHAnsi" w:hAnsiTheme="majorHAnsi" w:cstheme="majorBidi"/>
                <w:sz w:val="22"/>
                <w:szCs w:val="22"/>
              </w:rPr>
              <w:t>Market Coupling Operator (MCO)</w:t>
            </w:r>
          </w:p>
        </w:tc>
        <w:tc>
          <w:tcPr>
            <w:tcW w:w="7088" w:type="dxa"/>
            <w:shd w:val="clear" w:color="auto" w:fill="auto"/>
            <w:vAlign w:val="center"/>
          </w:tcPr>
          <w:p w14:paraId="1680AB11" w14:textId="13060545" w:rsidR="007E4A51" w:rsidRPr="00912E9B" w:rsidRDefault="007E4A51" w:rsidP="00D40051">
            <w:pPr>
              <w:pStyle w:val="CERAppendixLevel2"/>
              <w:numPr>
                <w:ilvl w:val="0"/>
                <w:numId w:val="0"/>
              </w:numPr>
              <w:rPr>
                <w:rFonts w:asciiTheme="majorHAnsi" w:hAnsiTheme="majorHAnsi" w:cstheme="majorHAnsi"/>
              </w:rPr>
            </w:pPr>
            <w:r w:rsidRPr="00912E9B">
              <w:rPr>
                <w:rFonts w:asciiTheme="majorHAnsi" w:hAnsiTheme="majorHAnsi" w:cstheme="majorHAnsi"/>
              </w:rPr>
              <w:t xml:space="preserve">means the task of matching </w:t>
            </w:r>
            <w:r w:rsidR="00CE3AE9" w:rsidRPr="00912E9B">
              <w:rPr>
                <w:rFonts w:asciiTheme="majorHAnsi" w:hAnsiTheme="majorHAnsi" w:cstheme="majorHAnsi"/>
              </w:rPr>
              <w:t>O</w:t>
            </w:r>
            <w:r w:rsidRPr="00912E9B">
              <w:rPr>
                <w:rFonts w:asciiTheme="majorHAnsi" w:hAnsiTheme="majorHAnsi" w:cstheme="majorHAnsi"/>
              </w:rPr>
              <w:t xml:space="preserve">rders from the </w:t>
            </w:r>
            <w:r w:rsidR="00AC4FC1" w:rsidRPr="00912E9B">
              <w:rPr>
                <w:rFonts w:asciiTheme="majorHAnsi" w:hAnsiTheme="majorHAnsi" w:cstheme="majorHAnsi"/>
              </w:rPr>
              <w:t>D</w:t>
            </w:r>
            <w:r w:rsidRPr="00912E9B">
              <w:rPr>
                <w:rFonts w:asciiTheme="majorHAnsi" w:hAnsiTheme="majorHAnsi" w:cstheme="majorHAnsi"/>
              </w:rPr>
              <w:t>ay-</w:t>
            </w:r>
            <w:r w:rsidR="00AC4FC1" w:rsidRPr="00912E9B">
              <w:rPr>
                <w:rFonts w:asciiTheme="majorHAnsi" w:hAnsiTheme="majorHAnsi" w:cstheme="majorHAnsi"/>
              </w:rPr>
              <w:t>A</w:t>
            </w:r>
            <w:r w:rsidRPr="00912E9B">
              <w:rPr>
                <w:rFonts w:asciiTheme="majorHAnsi" w:hAnsiTheme="majorHAnsi" w:cstheme="majorHAnsi"/>
              </w:rPr>
              <w:t>head and</w:t>
            </w:r>
            <w:r w:rsidR="00CE3AE9" w:rsidRPr="00912E9B">
              <w:rPr>
                <w:rFonts w:asciiTheme="majorHAnsi" w:hAnsiTheme="majorHAnsi" w:cstheme="majorHAnsi"/>
              </w:rPr>
              <w:t xml:space="preserve"> </w:t>
            </w:r>
            <w:r w:rsidR="00AC4FC1" w:rsidRPr="00912E9B">
              <w:rPr>
                <w:rFonts w:asciiTheme="majorHAnsi" w:hAnsiTheme="majorHAnsi" w:cstheme="majorHAnsi"/>
              </w:rPr>
              <w:t>I</w:t>
            </w:r>
            <w:r w:rsidRPr="00912E9B">
              <w:rPr>
                <w:rFonts w:asciiTheme="majorHAnsi" w:hAnsiTheme="majorHAnsi" w:cstheme="majorHAnsi"/>
              </w:rPr>
              <w:t xml:space="preserve">ntraday markets for different </w:t>
            </w:r>
            <w:r w:rsidR="00CE3AE9" w:rsidRPr="00912E9B">
              <w:rPr>
                <w:rFonts w:asciiTheme="majorHAnsi" w:hAnsiTheme="majorHAnsi" w:cstheme="majorHAnsi"/>
              </w:rPr>
              <w:t>B</w:t>
            </w:r>
            <w:r w:rsidRPr="00912E9B">
              <w:rPr>
                <w:rFonts w:asciiTheme="majorHAnsi" w:hAnsiTheme="majorHAnsi" w:cstheme="majorHAnsi"/>
              </w:rPr>
              <w:t xml:space="preserve">idding </w:t>
            </w:r>
            <w:r w:rsidR="00CE3AE9" w:rsidRPr="00912E9B">
              <w:rPr>
                <w:rFonts w:asciiTheme="majorHAnsi" w:hAnsiTheme="majorHAnsi" w:cstheme="majorHAnsi"/>
              </w:rPr>
              <w:t>Z</w:t>
            </w:r>
            <w:r w:rsidRPr="00912E9B">
              <w:rPr>
                <w:rFonts w:asciiTheme="majorHAnsi" w:hAnsiTheme="majorHAnsi" w:cstheme="majorHAnsi"/>
              </w:rPr>
              <w:t xml:space="preserve">ones and simultaneously allocating </w:t>
            </w:r>
            <w:r w:rsidR="00AC4FC1" w:rsidRPr="00912E9B">
              <w:rPr>
                <w:rFonts w:asciiTheme="majorHAnsi" w:hAnsiTheme="majorHAnsi" w:cstheme="majorHAnsi"/>
              </w:rPr>
              <w:t>C</w:t>
            </w:r>
            <w:r w:rsidRPr="00912E9B">
              <w:rPr>
                <w:rFonts w:asciiTheme="majorHAnsi" w:hAnsiTheme="majorHAnsi" w:cstheme="majorHAnsi"/>
              </w:rPr>
              <w:t>ross</w:t>
            </w:r>
            <w:r w:rsidR="00AC4FC1" w:rsidRPr="00912E9B">
              <w:rPr>
                <w:rFonts w:asciiTheme="majorHAnsi" w:hAnsiTheme="majorHAnsi" w:cstheme="majorHAnsi"/>
              </w:rPr>
              <w:t xml:space="preserve"> Z</w:t>
            </w:r>
            <w:r w:rsidRPr="00912E9B">
              <w:rPr>
                <w:rFonts w:asciiTheme="majorHAnsi" w:hAnsiTheme="majorHAnsi" w:cstheme="majorHAnsi"/>
              </w:rPr>
              <w:t xml:space="preserve">onal </w:t>
            </w:r>
            <w:r w:rsidR="00AC4FC1" w:rsidRPr="00912E9B">
              <w:rPr>
                <w:rFonts w:asciiTheme="majorHAnsi" w:hAnsiTheme="majorHAnsi" w:cstheme="majorHAnsi"/>
              </w:rPr>
              <w:t>C</w:t>
            </w:r>
            <w:r w:rsidRPr="00912E9B">
              <w:rPr>
                <w:rFonts w:asciiTheme="majorHAnsi" w:hAnsiTheme="majorHAnsi" w:cstheme="majorHAnsi"/>
              </w:rPr>
              <w:t>apacities.</w:t>
            </w:r>
          </w:p>
        </w:tc>
      </w:tr>
      <w:tr w:rsidR="00912E9B" w:rsidRPr="00912E9B" w14:paraId="034C7923" w14:textId="77777777" w:rsidTr="00D40051">
        <w:trPr>
          <w:cantSplit/>
        </w:trPr>
        <w:tc>
          <w:tcPr>
            <w:tcW w:w="2298" w:type="dxa"/>
            <w:shd w:val="clear" w:color="auto" w:fill="auto"/>
            <w:vAlign w:val="center"/>
          </w:tcPr>
          <w:p w14:paraId="73BF0C92" w14:textId="1F80D03E"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Market Coupling Service Provider</w:t>
            </w:r>
          </w:p>
        </w:tc>
        <w:tc>
          <w:tcPr>
            <w:tcW w:w="7088" w:type="dxa"/>
            <w:shd w:val="clear" w:color="auto" w:fill="auto"/>
            <w:vAlign w:val="center"/>
          </w:tcPr>
          <w:p w14:paraId="035231C8" w14:textId="50834088"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entity which performs the task of Orders matching for the Day-Ahead and Intra</w:t>
            </w:r>
            <w:r w:rsidR="00AC4FC1" w:rsidRPr="00912E9B">
              <w:rPr>
                <w:rFonts w:asciiTheme="majorHAnsi" w:hAnsiTheme="majorHAnsi" w:cstheme="majorHAnsi"/>
                <w:sz w:val="22"/>
                <w:szCs w:val="22"/>
              </w:rPr>
              <w:t>d</w:t>
            </w:r>
            <w:r w:rsidRPr="00912E9B">
              <w:rPr>
                <w:rFonts w:asciiTheme="majorHAnsi" w:hAnsiTheme="majorHAnsi" w:cstheme="majorHAnsi"/>
                <w:sz w:val="22"/>
                <w:szCs w:val="22"/>
              </w:rPr>
              <w:t>ay Markets for different Bidding Zones and simultaneously allocating Cross Zonal Capacities.</w:t>
            </w:r>
          </w:p>
        </w:tc>
      </w:tr>
      <w:tr w:rsidR="00912E9B" w:rsidRPr="00912E9B" w14:paraId="56F9E834" w14:textId="77777777" w:rsidTr="00D40051">
        <w:trPr>
          <w:cantSplit/>
        </w:trPr>
        <w:tc>
          <w:tcPr>
            <w:tcW w:w="2298" w:type="dxa"/>
            <w:shd w:val="clear" w:color="auto" w:fill="auto"/>
            <w:vAlign w:val="center"/>
          </w:tcPr>
          <w:p w14:paraId="4D6EAA4A" w14:textId="77777777"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Market Manipulation</w:t>
            </w:r>
          </w:p>
        </w:tc>
        <w:tc>
          <w:tcPr>
            <w:tcW w:w="7088" w:type="dxa"/>
            <w:shd w:val="clear" w:color="auto" w:fill="auto"/>
            <w:vAlign w:val="center"/>
          </w:tcPr>
          <w:p w14:paraId="2987BA11" w14:textId="0EAE385C"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has the meaning given in Article 2 (1.3) of the REMIT.</w:t>
            </w:r>
          </w:p>
        </w:tc>
      </w:tr>
      <w:tr w:rsidR="00912E9B" w:rsidRPr="00912E9B" w14:paraId="363818E5" w14:textId="77777777" w:rsidTr="00D40051">
        <w:trPr>
          <w:cantSplit/>
        </w:trPr>
        <w:tc>
          <w:tcPr>
            <w:tcW w:w="2298" w:type="dxa"/>
            <w:shd w:val="clear" w:color="auto" w:fill="auto"/>
            <w:vAlign w:val="center"/>
          </w:tcPr>
          <w:p w14:paraId="4C4DFE6A" w14:textId="77777777"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Market Notice</w:t>
            </w:r>
          </w:p>
        </w:tc>
        <w:tc>
          <w:tcPr>
            <w:tcW w:w="7088" w:type="dxa"/>
            <w:shd w:val="clear" w:color="auto" w:fill="auto"/>
            <w:vAlign w:val="center"/>
          </w:tcPr>
          <w:p w14:paraId="6725F515" w14:textId="5D08D168"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any statement issued by ALPEX to communicate electronically with all Parties.</w:t>
            </w:r>
          </w:p>
        </w:tc>
      </w:tr>
      <w:tr w:rsidR="00912E9B" w:rsidRPr="00912E9B" w14:paraId="5BB9200B" w14:textId="77777777" w:rsidTr="00D40051">
        <w:trPr>
          <w:cantSplit/>
        </w:trPr>
        <w:tc>
          <w:tcPr>
            <w:tcW w:w="2298" w:type="dxa"/>
            <w:shd w:val="clear" w:color="auto" w:fill="auto"/>
            <w:vAlign w:val="center"/>
          </w:tcPr>
          <w:p w14:paraId="211FE31C" w14:textId="77777777"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Market Operator </w:t>
            </w:r>
          </w:p>
        </w:tc>
        <w:tc>
          <w:tcPr>
            <w:tcW w:w="7088" w:type="dxa"/>
            <w:shd w:val="clear" w:color="auto" w:fill="auto"/>
            <w:vAlign w:val="center"/>
          </w:tcPr>
          <w:p w14:paraId="5F585B72" w14:textId="7A6A4852"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ALPEX </w:t>
            </w:r>
            <w:proofErr w:type="spellStart"/>
            <w:r w:rsidRPr="00912E9B">
              <w:rPr>
                <w:rFonts w:asciiTheme="majorHAnsi" w:hAnsiTheme="majorHAnsi" w:cstheme="majorHAnsi"/>
                <w:sz w:val="22"/>
                <w:szCs w:val="22"/>
              </w:rPr>
              <w:t>j.s.c</w:t>
            </w:r>
            <w:proofErr w:type="spellEnd"/>
            <w:r w:rsidRPr="00912E9B">
              <w:rPr>
                <w:rFonts w:asciiTheme="majorHAnsi" w:hAnsiTheme="majorHAnsi" w:cstheme="majorHAnsi"/>
                <w:sz w:val="22"/>
                <w:szCs w:val="22"/>
              </w:rPr>
              <w:t xml:space="preserve"> and KOSTT </w:t>
            </w:r>
            <w:proofErr w:type="spellStart"/>
            <w:r w:rsidRPr="00912E9B">
              <w:rPr>
                <w:rFonts w:asciiTheme="majorHAnsi" w:hAnsiTheme="majorHAnsi" w:cstheme="majorHAnsi"/>
                <w:sz w:val="22"/>
                <w:szCs w:val="22"/>
              </w:rPr>
              <w:t>j.s.c</w:t>
            </w:r>
            <w:proofErr w:type="spellEnd"/>
            <w:r w:rsidRPr="00912E9B">
              <w:rPr>
                <w:rFonts w:asciiTheme="majorHAnsi" w:hAnsiTheme="majorHAnsi" w:cstheme="majorHAnsi"/>
                <w:sz w:val="22"/>
                <w:szCs w:val="22"/>
              </w:rPr>
              <w:t xml:space="preserve"> solely in their respective roles as the undertakings authorised by the Regulatory Authorities pursuant to their Market Operator Licenses and any relevant exemption to administer the </w:t>
            </w:r>
            <w:r w:rsidR="005D44A6" w:rsidRPr="00912E9B">
              <w:rPr>
                <w:rFonts w:asciiTheme="majorHAnsi" w:hAnsiTheme="majorHAnsi" w:cstheme="majorHAnsi"/>
                <w:sz w:val="22"/>
                <w:szCs w:val="22"/>
              </w:rPr>
              <w:t xml:space="preserve">Procedures </w:t>
            </w:r>
            <w:r w:rsidRPr="00912E9B">
              <w:rPr>
                <w:rFonts w:asciiTheme="majorHAnsi" w:hAnsiTheme="majorHAnsi" w:cstheme="majorHAnsi"/>
                <w:sz w:val="22"/>
                <w:szCs w:val="22"/>
              </w:rPr>
              <w:t>Trading and carry out the functions of the "Market Operator" under that Procedures.</w:t>
            </w:r>
          </w:p>
        </w:tc>
      </w:tr>
      <w:tr w:rsidR="00912E9B" w:rsidRPr="00912E9B" w14:paraId="12714652" w14:textId="77777777" w:rsidTr="00D40051">
        <w:trPr>
          <w:cantSplit/>
        </w:trPr>
        <w:tc>
          <w:tcPr>
            <w:tcW w:w="2298" w:type="dxa"/>
            <w:shd w:val="clear" w:color="auto" w:fill="auto"/>
            <w:vAlign w:val="center"/>
          </w:tcPr>
          <w:p w14:paraId="680F3AF5" w14:textId="5B2702D5"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Market Operator License</w:t>
            </w:r>
          </w:p>
        </w:tc>
        <w:tc>
          <w:tcPr>
            <w:tcW w:w="7088" w:type="dxa"/>
            <w:shd w:val="clear" w:color="auto" w:fill="auto"/>
            <w:vAlign w:val="center"/>
          </w:tcPr>
          <w:p w14:paraId="2B55B79A" w14:textId="4B9CAA40"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license to act as the Electricity Market Operator under the relevant energy Law in Albania and Kosovo</w:t>
            </w:r>
            <w:r w:rsidR="001C2CC9" w:rsidRPr="00912E9B">
              <w:rPr>
                <w:rFonts w:asciiTheme="majorHAnsi" w:hAnsiTheme="majorHAnsi" w:cstheme="majorHAnsi"/>
                <w:sz w:val="22"/>
                <w:szCs w:val="22"/>
              </w:rPr>
              <w:t xml:space="preserve"> as applicable. </w:t>
            </w:r>
          </w:p>
        </w:tc>
      </w:tr>
      <w:tr w:rsidR="00912E9B" w:rsidRPr="00912E9B" w14:paraId="05986BAC" w14:textId="77777777" w:rsidTr="00D40051">
        <w:trPr>
          <w:cantSplit/>
        </w:trPr>
        <w:tc>
          <w:tcPr>
            <w:tcW w:w="2298" w:type="dxa"/>
            <w:shd w:val="clear" w:color="auto" w:fill="auto"/>
            <w:vAlign w:val="center"/>
          </w:tcPr>
          <w:p w14:paraId="6C318A35" w14:textId="5E0222CA" w:rsidR="007E4A51" w:rsidRPr="00912E9B" w:rsidRDefault="007E4A51" w:rsidP="007E4A51">
            <w:pPr>
              <w:pStyle w:val="CERGlossaryTerm"/>
              <w:rPr>
                <w:rFonts w:asciiTheme="majorHAnsi" w:hAnsiTheme="majorHAnsi" w:cstheme="majorHAnsi"/>
                <w:sz w:val="22"/>
                <w:szCs w:val="22"/>
              </w:rPr>
            </w:pPr>
            <w:r w:rsidRPr="00912E9B">
              <w:rPr>
                <w:rFonts w:asciiTheme="majorHAnsi" w:eastAsiaTheme="minorEastAsia" w:hAnsiTheme="majorHAnsi" w:cstheme="majorHAnsi"/>
                <w:sz w:val="22"/>
                <w:szCs w:val="22"/>
                <w:lang w:eastAsia="en-IE"/>
              </w:rPr>
              <w:lastRenderedPageBreak/>
              <w:t>Market Schedules</w:t>
            </w:r>
          </w:p>
        </w:tc>
        <w:tc>
          <w:tcPr>
            <w:tcW w:w="7088" w:type="dxa"/>
            <w:shd w:val="clear" w:color="auto" w:fill="auto"/>
            <w:vAlign w:val="center"/>
          </w:tcPr>
          <w:p w14:paraId="438FFAE1" w14:textId="24B840BD" w:rsidR="007E4A51" w:rsidRPr="00912E9B" w:rsidRDefault="00912E9B" w:rsidP="00912E9B">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The net energy schedule (Net Position)</w:t>
            </w:r>
            <w:r w:rsidRPr="00912E9B">
              <w:rPr>
                <w:rFonts w:asciiTheme="majorHAnsi" w:hAnsiTheme="majorHAnsi" w:cstheme="majorHAnsi"/>
                <w:sz w:val="22"/>
                <w:szCs w:val="22"/>
              </w:rPr>
              <w:t xml:space="preserve"> </w:t>
            </w:r>
            <w:r w:rsidRPr="00912E9B">
              <w:rPr>
                <w:rFonts w:asciiTheme="majorHAnsi" w:hAnsiTheme="majorHAnsi" w:cstheme="majorHAnsi"/>
                <w:sz w:val="22"/>
                <w:szCs w:val="22"/>
              </w:rPr>
              <w:t>resulting from all trades</w:t>
            </w:r>
            <w:r w:rsidRPr="00912E9B">
              <w:rPr>
                <w:rFonts w:asciiTheme="majorHAnsi" w:hAnsiTheme="majorHAnsi" w:cstheme="majorHAnsi"/>
                <w:sz w:val="22"/>
                <w:szCs w:val="22"/>
              </w:rPr>
              <w:t xml:space="preserve"> in ALPEX Markets </w:t>
            </w:r>
            <w:r w:rsidRPr="00912E9B">
              <w:rPr>
                <w:rFonts w:asciiTheme="majorHAnsi" w:hAnsiTheme="majorHAnsi" w:cstheme="majorHAnsi"/>
                <w:sz w:val="22"/>
                <w:szCs w:val="22"/>
              </w:rPr>
              <w:t>of which is automatically (and</w:t>
            </w:r>
            <w:r w:rsidRPr="00912E9B">
              <w:rPr>
                <w:rFonts w:asciiTheme="majorHAnsi" w:hAnsiTheme="majorHAnsi" w:cstheme="majorHAnsi"/>
                <w:sz w:val="22"/>
                <w:szCs w:val="22"/>
              </w:rPr>
              <w:t xml:space="preserve"> </w:t>
            </w:r>
            <w:r w:rsidRPr="00912E9B">
              <w:rPr>
                <w:rFonts w:asciiTheme="majorHAnsi" w:hAnsiTheme="majorHAnsi" w:cstheme="majorHAnsi"/>
                <w:sz w:val="22"/>
                <w:szCs w:val="22"/>
              </w:rPr>
              <w:t xml:space="preserve">continuously) transferred from </w:t>
            </w:r>
            <w:r w:rsidRPr="00912E9B">
              <w:rPr>
                <w:rFonts w:asciiTheme="majorHAnsi" w:hAnsiTheme="majorHAnsi" w:cstheme="majorHAnsi"/>
                <w:sz w:val="22"/>
                <w:szCs w:val="22"/>
              </w:rPr>
              <w:t xml:space="preserve">ALPEX </w:t>
            </w:r>
            <w:r w:rsidRPr="00912E9B">
              <w:rPr>
                <w:rFonts w:asciiTheme="majorHAnsi" w:hAnsiTheme="majorHAnsi" w:cstheme="majorHAnsi"/>
                <w:sz w:val="22"/>
                <w:szCs w:val="22"/>
              </w:rPr>
              <w:t>to the Energy Balancing System of the</w:t>
            </w:r>
            <w:r w:rsidRPr="00912E9B">
              <w:rPr>
                <w:rFonts w:asciiTheme="majorHAnsi" w:hAnsiTheme="majorHAnsi" w:cstheme="majorHAnsi"/>
                <w:sz w:val="22"/>
                <w:szCs w:val="22"/>
              </w:rPr>
              <w:t xml:space="preserve"> </w:t>
            </w:r>
            <w:r w:rsidRPr="00912E9B">
              <w:rPr>
                <w:rFonts w:asciiTheme="majorHAnsi" w:hAnsiTheme="majorHAnsi" w:cstheme="majorHAnsi"/>
                <w:sz w:val="22"/>
                <w:szCs w:val="22"/>
              </w:rPr>
              <w:t>TSO for the purpose of performing</w:t>
            </w:r>
            <w:r w:rsidRPr="00912E9B">
              <w:rPr>
                <w:rFonts w:asciiTheme="majorHAnsi" w:hAnsiTheme="majorHAnsi" w:cstheme="majorHAnsi"/>
                <w:sz w:val="22"/>
                <w:szCs w:val="22"/>
              </w:rPr>
              <w:t xml:space="preserve"> </w:t>
            </w:r>
            <w:r w:rsidRPr="00912E9B">
              <w:rPr>
                <w:rFonts w:asciiTheme="majorHAnsi" w:hAnsiTheme="majorHAnsi" w:cstheme="majorHAnsi"/>
                <w:sz w:val="22"/>
                <w:szCs w:val="22"/>
              </w:rPr>
              <w:t>Balancing Market processes (clearing,</w:t>
            </w:r>
            <w:r w:rsidRPr="00912E9B">
              <w:rPr>
                <w:rFonts w:asciiTheme="majorHAnsi" w:hAnsiTheme="majorHAnsi" w:cstheme="majorHAnsi"/>
                <w:sz w:val="22"/>
                <w:szCs w:val="22"/>
              </w:rPr>
              <w:t xml:space="preserve"> </w:t>
            </w:r>
            <w:r w:rsidRPr="00912E9B">
              <w:rPr>
                <w:rFonts w:asciiTheme="majorHAnsi" w:hAnsiTheme="majorHAnsi" w:cstheme="majorHAnsi"/>
                <w:sz w:val="22"/>
                <w:szCs w:val="22"/>
              </w:rPr>
              <w:t>settlement, etc.)</w:t>
            </w:r>
          </w:p>
        </w:tc>
      </w:tr>
      <w:tr w:rsidR="00912E9B" w:rsidRPr="00912E9B" w14:paraId="28CC3241" w14:textId="77777777" w:rsidTr="00D40051">
        <w:trPr>
          <w:cantSplit/>
        </w:trPr>
        <w:tc>
          <w:tcPr>
            <w:tcW w:w="2298" w:type="dxa"/>
            <w:shd w:val="clear" w:color="auto" w:fill="auto"/>
            <w:vAlign w:val="center"/>
          </w:tcPr>
          <w:p w14:paraId="1EA3742F" w14:textId="52387895"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Market Segment</w:t>
            </w:r>
          </w:p>
        </w:tc>
        <w:tc>
          <w:tcPr>
            <w:tcW w:w="7088" w:type="dxa"/>
            <w:shd w:val="clear" w:color="auto" w:fill="auto"/>
            <w:vAlign w:val="center"/>
          </w:tcPr>
          <w:p w14:paraId="7FACF1FB" w14:textId="6982283E"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has the meaning given in the Day-</w:t>
            </w:r>
            <w:r w:rsidR="00A876BE" w:rsidRPr="00912E9B">
              <w:rPr>
                <w:rFonts w:asciiTheme="majorHAnsi" w:hAnsiTheme="majorHAnsi" w:cstheme="majorHAnsi"/>
                <w:sz w:val="22"/>
                <w:szCs w:val="22"/>
              </w:rPr>
              <w:t>A</w:t>
            </w:r>
            <w:r w:rsidRPr="00912E9B">
              <w:rPr>
                <w:rFonts w:asciiTheme="majorHAnsi" w:hAnsiTheme="majorHAnsi" w:cstheme="majorHAnsi"/>
                <w:sz w:val="22"/>
                <w:szCs w:val="22"/>
              </w:rPr>
              <w:t>head Auction, the Intraday Auctions, and Intraday Continuous Trading. A Market Segment consists of a Bidding Zone associated with a Trading Procedures and or MTU(s) as set out in the Trading Procedures.</w:t>
            </w:r>
          </w:p>
        </w:tc>
      </w:tr>
      <w:tr w:rsidR="00912E9B" w:rsidRPr="00912E9B" w14:paraId="430C4982" w14:textId="77777777" w:rsidTr="00D40051">
        <w:trPr>
          <w:cantSplit/>
        </w:trPr>
        <w:tc>
          <w:tcPr>
            <w:tcW w:w="2298" w:type="dxa"/>
            <w:shd w:val="clear" w:color="auto" w:fill="auto"/>
            <w:vAlign w:val="center"/>
          </w:tcPr>
          <w:p w14:paraId="2A5C06BE" w14:textId="6DEDD782"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Market Time Unit</w:t>
            </w:r>
          </w:p>
        </w:tc>
        <w:tc>
          <w:tcPr>
            <w:tcW w:w="7088" w:type="dxa"/>
            <w:shd w:val="clear" w:color="auto" w:fill="auto"/>
            <w:vAlign w:val="center"/>
          </w:tcPr>
          <w:p w14:paraId="277B5F85" w14:textId="2DD7ACC1"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the period for which the market price is established or the shortest possible common </w:t>
            </w:r>
            <w:proofErr w:type="gramStart"/>
            <w:r w:rsidRPr="00912E9B">
              <w:rPr>
                <w:rFonts w:asciiTheme="majorHAnsi" w:hAnsiTheme="majorHAnsi" w:cstheme="majorHAnsi"/>
                <w:sz w:val="22"/>
                <w:szCs w:val="22"/>
              </w:rPr>
              <w:t>time period</w:t>
            </w:r>
            <w:proofErr w:type="gramEnd"/>
            <w:r w:rsidRPr="00912E9B">
              <w:rPr>
                <w:rFonts w:asciiTheme="majorHAnsi" w:hAnsiTheme="majorHAnsi" w:cstheme="majorHAnsi"/>
                <w:sz w:val="22"/>
                <w:szCs w:val="22"/>
              </w:rPr>
              <w:t xml:space="preserve"> for two Bidding Zones, if their market time units are different.</w:t>
            </w:r>
          </w:p>
        </w:tc>
      </w:tr>
      <w:tr w:rsidR="00912E9B" w:rsidRPr="00912E9B" w14:paraId="09B22175" w14:textId="77777777" w:rsidTr="00D40051">
        <w:trPr>
          <w:cantSplit/>
        </w:trPr>
        <w:tc>
          <w:tcPr>
            <w:tcW w:w="2298" w:type="dxa"/>
            <w:shd w:val="clear" w:color="auto" w:fill="auto"/>
            <w:vAlign w:val="center"/>
          </w:tcPr>
          <w:p w14:paraId="35BB57D6" w14:textId="7D690ABF"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Matched, Matching, Match</w:t>
            </w:r>
          </w:p>
        </w:tc>
        <w:tc>
          <w:tcPr>
            <w:tcW w:w="7088" w:type="dxa"/>
            <w:shd w:val="clear" w:color="auto" w:fill="auto"/>
            <w:vAlign w:val="center"/>
          </w:tcPr>
          <w:p w14:paraId="6F256C21" w14:textId="4EB2B965" w:rsidR="007E4A51" w:rsidRPr="00912E9B" w:rsidRDefault="007E4A51" w:rsidP="00D40051">
            <w:pPr>
              <w:pStyle w:val="CERGlossaryDefinition"/>
              <w:jc w:val="left"/>
              <w:rPr>
                <w:rFonts w:asciiTheme="majorHAnsi" w:hAnsiTheme="majorHAnsi" w:cstheme="majorHAnsi"/>
                <w:sz w:val="22"/>
                <w:szCs w:val="22"/>
                <w:lang w:val="en-US"/>
              </w:rPr>
            </w:pPr>
            <w:r w:rsidRPr="00912E9B">
              <w:rPr>
                <w:rFonts w:asciiTheme="majorHAnsi" w:hAnsiTheme="majorHAnsi" w:cstheme="majorHAnsi"/>
                <w:sz w:val="22"/>
                <w:szCs w:val="22"/>
              </w:rPr>
              <w:t>means trading mode through which Sell Orders are assigned to appropriate Buy Orders to ensure the maximization of economic surplus for Day-Ahead or Intra-Day</w:t>
            </w:r>
            <w:r w:rsidR="00155AAA" w:rsidRPr="00912E9B">
              <w:rPr>
                <w:rFonts w:asciiTheme="majorHAnsi" w:hAnsiTheme="majorHAnsi" w:cstheme="majorHAnsi"/>
                <w:sz w:val="22"/>
                <w:szCs w:val="22"/>
              </w:rPr>
              <w:t xml:space="preserve"> Market</w:t>
            </w:r>
            <w:r w:rsidRPr="00912E9B">
              <w:rPr>
                <w:rFonts w:asciiTheme="majorHAnsi" w:hAnsiTheme="majorHAnsi" w:cstheme="majorHAnsi"/>
                <w:sz w:val="22"/>
                <w:szCs w:val="22"/>
              </w:rPr>
              <w:t xml:space="preserve"> Coupling.</w:t>
            </w:r>
          </w:p>
        </w:tc>
      </w:tr>
      <w:tr w:rsidR="00912E9B" w:rsidRPr="00912E9B" w14:paraId="6AE1B364" w14:textId="77777777" w:rsidTr="00D40051">
        <w:trPr>
          <w:cantSplit/>
        </w:trPr>
        <w:tc>
          <w:tcPr>
            <w:tcW w:w="2298" w:type="dxa"/>
            <w:shd w:val="clear" w:color="auto" w:fill="auto"/>
            <w:vAlign w:val="center"/>
          </w:tcPr>
          <w:p w14:paraId="13E74D64" w14:textId="64E9FFD0" w:rsidR="007E4A51" w:rsidRPr="00912E9B" w:rsidRDefault="007E4A51" w:rsidP="007E4A51">
            <w:pPr>
              <w:pStyle w:val="CERGlossaryTerm"/>
              <w:rPr>
                <w:rFonts w:asciiTheme="minorHAnsi" w:hAnsiTheme="minorHAnsi" w:cstheme="minorHAnsi"/>
                <w:sz w:val="22"/>
                <w:szCs w:val="22"/>
              </w:rPr>
            </w:pPr>
            <w:r w:rsidRPr="00912E9B">
              <w:rPr>
                <w:rFonts w:asciiTheme="minorHAnsi" w:hAnsiTheme="minorHAnsi" w:cstheme="minorHAnsi"/>
                <w:sz w:val="22"/>
                <w:szCs w:val="22"/>
              </w:rPr>
              <w:t>Maximum Continuous Intraday Price</w:t>
            </w:r>
          </w:p>
        </w:tc>
        <w:tc>
          <w:tcPr>
            <w:tcW w:w="7088" w:type="dxa"/>
            <w:shd w:val="clear" w:color="auto" w:fill="auto"/>
            <w:vAlign w:val="center"/>
          </w:tcPr>
          <w:p w14:paraId="2B90BE4F" w14:textId="3A4EA448" w:rsidR="007E4A51" w:rsidRPr="00912E9B" w:rsidRDefault="007E4A51"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 xml:space="preserve">The maximum level of price allowed for the Continuous Intraday Trading market. </w:t>
            </w:r>
          </w:p>
        </w:tc>
      </w:tr>
      <w:tr w:rsidR="00912E9B" w:rsidRPr="00912E9B" w14:paraId="2F8B5D8E" w14:textId="77777777" w:rsidTr="00D40051">
        <w:trPr>
          <w:cantSplit/>
        </w:trPr>
        <w:tc>
          <w:tcPr>
            <w:tcW w:w="2298" w:type="dxa"/>
            <w:shd w:val="clear" w:color="auto" w:fill="auto"/>
            <w:vAlign w:val="center"/>
          </w:tcPr>
          <w:p w14:paraId="4FA0492E" w14:textId="49D053C6" w:rsidR="007E4A51" w:rsidRPr="00912E9B" w:rsidRDefault="007E4A51" w:rsidP="007E4A51">
            <w:pPr>
              <w:pStyle w:val="CERGlossaryTerm"/>
              <w:rPr>
                <w:rFonts w:asciiTheme="minorHAnsi" w:hAnsiTheme="minorHAnsi" w:cstheme="minorHAnsi"/>
                <w:sz w:val="22"/>
                <w:szCs w:val="22"/>
              </w:rPr>
            </w:pPr>
            <w:r w:rsidRPr="00912E9B">
              <w:rPr>
                <w:rFonts w:asciiTheme="minorHAnsi" w:hAnsiTheme="minorHAnsi" w:cstheme="minorHAnsi"/>
                <w:sz w:val="22"/>
                <w:szCs w:val="22"/>
              </w:rPr>
              <w:t>Maximum Continuous Intraday Price Threshold</w:t>
            </w:r>
          </w:p>
        </w:tc>
        <w:tc>
          <w:tcPr>
            <w:tcW w:w="7088" w:type="dxa"/>
            <w:shd w:val="clear" w:color="auto" w:fill="auto"/>
            <w:vAlign w:val="center"/>
          </w:tcPr>
          <w:p w14:paraId="53243829" w14:textId="33EA5669" w:rsidR="007E4A51" w:rsidRPr="00912E9B" w:rsidRDefault="007E4A51"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The maximum matching price accepted for the Continuous Intraday Trading market.</w:t>
            </w:r>
          </w:p>
        </w:tc>
      </w:tr>
      <w:tr w:rsidR="00912E9B" w:rsidRPr="00912E9B" w14:paraId="5E2371F6" w14:textId="77777777" w:rsidTr="00D40051">
        <w:trPr>
          <w:cantSplit/>
        </w:trPr>
        <w:tc>
          <w:tcPr>
            <w:tcW w:w="2298" w:type="dxa"/>
            <w:shd w:val="clear" w:color="auto" w:fill="auto"/>
            <w:vAlign w:val="center"/>
          </w:tcPr>
          <w:p w14:paraId="6026CCA4" w14:textId="1CA249A1" w:rsidR="007E4A51" w:rsidRPr="00912E9B" w:rsidRDefault="007E4A51" w:rsidP="007E4A51">
            <w:pPr>
              <w:pStyle w:val="CERGlossaryTerm"/>
              <w:rPr>
                <w:rFonts w:asciiTheme="majorHAnsi" w:hAnsiTheme="majorHAnsi" w:cstheme="majorHAnsi"/>
                <w:sz w:val="22"/>
                <w:szCs w:val="22"/>
              </w:rPr>
            </w:pPr>
            <w:r w:rsidRPr="00912E9B">
              <w:rPr>
                <w:rFonts w:asciiTheme="minorHAnsi" w:hAnsiTheme="minorHAnsi" w:cstheme="minorHAnsi"/>
                <w:sz w:val="22"/>
                <w:szCs w:val="22"/>
              </w:rPr>
              <w:t>Maximum Day-Ahead Price</w:t>
            </w:r>
          </w:p>
        </w:tc>
        <w:tc>
          <w:tcPr>
            <w:tcW w:w="7088" w:type="dxa"/>
            <w:shd w:val="clear" w:color="auto" w:fill="auto"/>
            <w:vAlign w:val="center"/>
          </w:tcPr>
          <w:p w14:paraId="4B859149" w14:textId="3B920AD2" w:rsidR="007E4A51" w:rsidRPr="00912E9B" w:rsidRDefault="007E4A51"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The maximum level of price allowed for Orders entered in a Day-Ahead Auction.</w:t>
            </w:r>
          </w:p>
        </w:tc>
      </w:tr>
      <w:tr w:rsidR="00912E9B" w:rsidRPr="00912E9B" w14:paraId="1B363060" w14:textId="77777777" w:rsidTr="00D40051">
        <w:trPr>
          <w:cantSplit/>
        </w:trPr>
        <w:tc>
          <w:tcPr>
            <w:tcW w:w="2298" w:type="dxa"/>
            <w:shd w:val="clear" w:color="auto" w:fill="auto"/>
            <w:vAlign w:val="center"/>
          </w:tcPr>
          <w:p w14:paraId="3B532362" w14:textId="5297BDB7" w:rsidR="007E4A51" w:rsidRPr="00912E9B" w:rsidRDefault="007E4A51" w:rsidP="007E4A51">
            <w:pPr>
              <w:pStyle w:val="CERGlossaryTerm"/>
              <w:rPr>
                <w:rFonts w:asciiTheme="minorHAnsi" w:hAnsiTheme="minorHAnsi" w:cstheme="minorHAnsi"/>
                <w:sz w:val="22"/>
                <w:szCs w:val="22"/>
              </w:rPr>
            </w:pPr>
            <w:r w:rsidRPr="00912E9B">
              <w:rPr>
                <w:rFonts w:asciiTheme="minorHAnsi" w:hAnsiTheme="minorHAnsi" w:cstheme="minorHAnsi"/>
                <w:sz w:val="22"/>
                <w:szCs w:val="22"/>
              </w:rPr>
              <w:t>Maximum Day-Ahead Price Threshold</w:t>
            </w:r>
          </w:p>
        </w:tc>
        <w:tc>
          <w:tcPr>
            <w:tcW w:w="7088" w:type="dxa"/>
            <w:shd w:val="clear" w:color="auto" w:fill="auto"/>
            <w:vAlign w:val="center"/>
          </w:tcPr>
          <w:p w14:paraId="7F81375F" w14:textId="38B0A7BF" w:rsidR="007E4A51" w:rsidRPr="00912E9B" w:rsidRDefault="007E4A51"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The Maximum Clearing Price accepted in respect of a Day-Ahead Auction.</w:t>
            </w:r>
          </w:p>
        </w:tc>
      </w:tr>
      <w:tr w:rsidR="009B7A31" w:rsidRPr="00912E9B" w14:paraId="3D120BD4" w14:textId="77777777" w:rsidTr="00D40051">
        <w:trPr>
          <w:cantSplit/>
        </w:trPr>
        <w:tc>
          <w:tcPr>
            <w:tcW w:w="2298" w:type="dxa"/>
            <w:shd w:val="clear" w:color="auto" w:fill="auto"/>
            <w:vAlign w:val="center"/>
          </w:tcPr>
          <w:p w14:paraId="2E52FBDF" w14:textId="4EDB46F4" w:rsidR="007E4A51" w:rsidRPr="00912E9B" w:rsidRDefault="007E4A51" w:rsidP="007E4A51">
            <w:pPr>
              <w:pStyle w:val="CERGlossaryTerm"/>
              <w:rPr>
                <w:rFonts w:asciiTheme="majorHAnsi" w:hAnsiTheme="majorHAnsi" w:cstheme="majorHAnsi"/>
                <w:sz w:val="22"/>
                <w:szCs w:val="22"/>
              </w:rPr>
            </w:pPr>
            <w:r w:rsidRPr="00912E9B">
              <w:rPr>
                <w:rFonts w:asciiTheme="minorHAnsi" w:hAnsiTheme="minorHAnsi" w:cstheme="minorHAnsi"/>
                <w:sz w:val="22"/>
                <w:szCs w:val="22"/>
              </w:rPr>
              <w:t>Maximum Intraday Auction Price</w:t>
            </w:r>
          </w:p>
        </w:tc>
        <w:tc>
          <w:tcPr>
            <w:tcW w:w="7088" w:type="dxa"/>
            <w:shd w:val="clear" w:color="auto" w:fill="auto"/>
            <w:vAlign w:val="center"/>
          </w:tcPr>
          <w:p w14:paraId="40955CB3" w14:textId="6C9382C8" w:rsidR="007E4A51" w:rsidRPr="00912E9B" w:rsidRDefault="007E4A51"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The Maximum Clearing Price in respect of an Intraday Auction.</w:t>
            </w:r>
          </w:p>
        </w:tc>
      </w:tr>
      <w:tr w:rsidR="009B7A31" w:rsidRPr="00912E9B" w14:paraId="0143DD92" w14:textId="77777777" w:rsidTr="00D40051">
        <w:trPr>
          <w:cantSplit/>
        </w:trPr>
        <w:tc>
          <w:tcPr>
            <w:tcW w:w="2298" w:type="dxa"/>
            <w:shd w:val="clear" w:color="auto" w:fill="auto"/>
            <w:vAlign w:val="center"/>
          </w:tcPr>
          <w:p w14:paraId="55EC5766" w14:textId="18614C51" w:rsidR="007E4A51" w:rsidRPr="00912E9B" w:rsidRDefault="007E4A51" w:rsidP="007E4A51">
            <w:pPr>
              <w:pStyle w:val="CERGlossaryTerm"/>
              <w:rPr>
                <w:rFonts w:asciiTheme="majorHAnsi" w:hAnsiTheme="majorHAnsi" w:cstheme="majorHAnsi"/>
                <w:sz w:val="22"/>
                <w:szCs w:val="22"/>
              </w:rPr>
            </w:pPr>
            <w:r w:rsidRPr="00912E9B">
              <w:rPr>
                <w:rFonts w:asciiTheme="minorHAnsi" w:hAnsiTheme="minorHAnsi" w:cstheme="minorHAnsi"/>
                <w:sz w:val="22"/>
                <w:szCs w:val="22"/>
              </w:rPr>
              <w:t>Maximum Intraday Price Threshold</w:t>
            </w:r>
          </w:p>
        </w:tc>
        <w:tc>
          <w:tcPr>
            <w:tcW w:w="7088" w:type="dxa"/>
            <w:shd w:val="clear" w:color="auto" w:fill="auto"/>
            <w:vAlign w:val="center"/>
          </w:tcPr>
          <w:p w14:paraId="66E1D8B7" w14:textId="44D80AE9" w:rsidR="007E4A51" w:rsidRPr="00912E9B" w:rsidRDefault="007E4A51"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The Maximum Clearing Price accepted in respect of a</w:t>
            </w:r>
            <w:r w:rsidR="00DC3584" w:rsidRPr="00912E9B">
              <w:rPr>
                <w:rFonts w:asciiTheme="minorHAnsi" w:hAnsiTheme="minorHAnsi" w:cstheme="minorHAnsi"/>
                <w:sz w:val="22"/>
                <w:szCs w:val="22"/>
              </w:rPr>
              <w:t>n</w:t>
            </w:r>
            <w:r w:rsidRPr="00912E9B">
              <w:rPr>
                <w:rFonts w:asciiTheme="minorHAnsi" w:hAnsiTheme="minorHAnsi" w:cstheme="minorHAnsi"/>
                <w:sz w:val="22"/>
                <w:szCs w:val="22"/>
              </w:rPr>
              <w:t xml:space="preserve"> Intraday Auction.</w:t>
            </w:r>
          </w:p>
        </w:tc>
      </w:tr>
      <w:tr w:rsidR="009B7A31" w:rsidRPr="00912E9B" w14:paraId="56BA91FA" w14:textId="77777777" w:rsidTr="00D40051">
        <w:trPr>
          <w:cantSplit/>
        </w:trPr>
        <w:tc>
          <w:tcPr>
            <w:tcW w:w="2298" w:type="dxa"/>
            <w:shd w:val="clear" w:color="auto" w:fill="auto"/>
            <w:vAlign w:val="center"/>
          </w:tcPr>
          <w:p w14:paraId="11BA3589" w14:textId="77C4CA46"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Member System</w:t>
            </w:r>
          </w:p>
        </w:tc>
        <w:tc>
          <w:tcPr>
            <w:tcW w:w="7088" w:type="dxa"/>
            <w:shd w:val="clear" w:color="auto" w:fill="auto"/>
            <w:vAlign w:val="center"/>
          </w:tcPr>
          <w:p w14:paraId="2FA48CCE" w14:textId="5390DD63"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an Exchange Member’s system used for transmitting and receiving data on the Exchange.</w:t>
            </w:r>
          </w:p>
        </w:tc>
      </w:tr>
      <w:tr w:rsidR="009B7A31" w:rsidRPr="00912E9B" w14:paraId="7BD503AD" w14:textId="77777777" w:rsidTr="00D40051">
        <w:trPr>
          <w:cantSplit/>
        </w:trPr>
        <w:tc>
          <w:tcPr>
            <w:tcW w:w="2298" w:type="dxa"/>
            <w:shd w:val="clear" w:color="auto" w:fill="auto"/>
            <w:vAlign w:val="center"/>
          </w:tcPr>
          <w:p w14:paraId="4E7F072D" w14:textId="77777777" w:rsidR="007E4A51" w:rsidRPr="00912E9B" w:rsidRDefault="007E4A51" w:rsidP="007E4A51">
            <w:pPr>
              <w:pStyle w:val="CERGlossaryTerm"/>
              <w:rPr>
                <w:rFonts w:asciiTheme="majorHAnsi" w:hAnsiTheme="majorHAnsi" w:cstheme="majorHAnsi"/>
                <w:sz w:val="22"/>
                <w:szCs w:val="22"/>
              </w:rPr>
            </w:pPr>
            <w:r w:rsidRPr="00912E9B">
              <w:rPr>
                <w:rFonts w:asciiTheme="majorHAnsi" w:hAnsiTheme="majorHAnsi" w:cstheme="majorHAnsi"/>
                <w:sz w:val="22"/>
                <w:szCs w:val="22"/>
              </w:rPr>
              <w:t>Membership Application</w:t>
            </w:r>
          </w:p>
        </w:tc>
        <w:tc>
          <w:tcPr>
            <w:tcW w:w="7088" w:type="dxa"/>
            <w:shd w:val="clear" w:color="auto" w:fill="auto"/>
            <w:vAlign w:val="center"/>
          </w:tcPr>
          <w:p w14:paraId="7A431DA4" w14:textId="16A20354" w:rsidR="007E4A51" w:rsidRPr="00912E9B" w:rsidRDefault="007E4A51"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standard application form which must be completed by each Applicant that intends to be admitted as an Exchange Member.</w:t>
            </w:r>
          </w:p>
        </w:tc>
      </w:tr>
      <w:tr w:rsidR="004111FA" w:rsidRPr="00912E9B" w14:paraId="1FC0B5B3" w14:textId="77777777" w:rsidTr="00D40051">
        <w:trPr>
          <w:cantSplit/>
        </w:trPr>
        <w:tc>
          <w:tcPr>
            <w:tcW w:w="2298" w:type="dxa"/>
            <w:shd w:val="clear" w:color="auto" w:fill="auto"/>
            <w:vAlign w:val="center"/>
          </w:tcPr>
          <w:p w14:paraId="6E4DD4B4" w14:textId="1D43F800" w:rsidR="004111FA" w:rsidRPr="00912E9B" w:rsidRDefault="004111FA" w:rsidP="004111FA">
            <w:pPr>
              <w:pStyle w:val="CERGlossaryTerm"/>
              <w:rPr>
                <w:rFonts w:asciiTheme="majorHAnsi" w:hAnsiTheme="majorHAnsi" w:cstheme="majorHAnsi"/>
                <w:sz w:val="22"/>
                <w:szCs w:val="22"/>
              </w:rPr>
            </w:pPr>
            <w:r w:rsidRPr="00912E9B">
              <w:rPr>
                <w:rFonts w:asciiTheme="minorHAnsi" w:hAnsiTheme="minorHAnsi" w:cstheme="minorHAnsi"/>
                <w:sz w:val="22"/>
                <w:szCs w:val="22"/>
              </w:rPr>
              <w:t>Minimum Acceptance Ratio</w:t>
            </w:r>
          </w:p>
        </w:tc>
        <w:tc>
          <w:tcPr>
            <w:tcW w:w="7088" w:type="dxa"/>
            <w:shd w:val="clear" w:color="auto" w:fill="auto"/>
            <w:vAlign w:val="center"/>
          </w:tcPr>
          <w:p w14:paraId="3AE5DF9F" w14:textId="538DDC69" w:rsidR="004111FA" w:rsidRPr="00912E9B" w:rsidRDefault="004111FA" w:rsidP="00D40051">
            <w:pPr>
              <w:pStyle w:val="CERGlossaryDefinition"/>
              <w:jc w:val="left"/>
              <w:rPr>
                <w:rFonts w:asciiTheme="majorHAnsi" w:hAnsiTheme="majorHAnsi" w:cstheme="majorHAnsi"/>
                <w:sz w:val="22"/>
                <w:szCs w:val="22"/>
              </w:rPr>
            </w:pPr>
            <w:r w:rsidRPr="00912E9B">
              <w:rPr>
                <w:rFonts w:asciiTheme="minorHAnsi" w:hAnsiTheme="minorHAnsi" w:cstheme="minorHAnsi"/>
                <w:bCs/>
                <w:sz w:val="22"/>
                <w:szCs w:val="22"/>
              </w:rPr>
              <w:t>The Minimum Acceptance Rate in any Block Order, in which the Block can be matched and expressed as less than or equal to 100%.</w:t>
            </w:r>
          </w:p>
        </w:tc>
      </w:tr>
      <w:tr w:rsidR="009B7A31" w:rsidRPr="00912E9B" w14:paraId="220E7BDC" w14:textId="77777777" w:rsidTr="00D40051">
        <w:trPr>
          <w:cantSplit/>
        </w:trPr>
        <w:tc>
          <w:tcPr>
            <w:tcW w:w="2298" w:type="dxa"/>
            <w:shd w:val="clear" w:color="auto" w:fill="auto"/>
            <w:vAlign w:val="center"/>
          </w:tcPr>
          <w:p w14:paraId="48E72523" w14:textId="413DF2ED" w:rsidR="004111FA" w:rsidRPr="00912E9B" w:rsidRDefault="004111FA" w:rsidP="004111FA">
            <w:pPr>
              <w:pStyle w:val="CERGlossaryTerm"/>
              <w:rPr>
                <w:rFonts w:asciiTheme="minorHAnsi" w:hAnsiTheme="minorHAnsi" w:cstheme="minorHAnsi"/>
                <w:sz w:val="22"/>
                <w:szCs w:val="22"/>
              </w:rPr>
            </w:pPr>
            <w:r w:rsidRPr="00912E9B">
              <w:rPr>
                <w:rFonts w:asciiTheme="minorHAnsi" w:hAnsiTheme="minorHAnsi" w:cstheme="minorHAnsi"/>
                <w:sz w:val="22"/>
                <w:szCs w:val="22"/>
              </w:rPr>
              <w:t>Minimum Continuous Intraday Price</w:t>
            </w:r>
          </w:p>
        </w:tc>
        <w:tc>
          <w:tcPr>
            <w:tcW w:w="7088" w:type="dxa"/>
            <w:shd w:val="clear" w:color="auto" w:fill="auto"/>
            <w:vAlign w:val="center"/>
          </w:tcPr>
          <w:p w14:paraId="66889D7C" w14:textId="6CE76B00" w:rsidR="004111FA" w:rsidRPr="00912E9B" w:rsidRDefault="004111FA"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The minimum level of price allowed for Orders entered in the Intraday Continuous Trading Market.</w:t>
            </w:r>
          </w:p>
        </w:tc>
      </w:tr>
      <w:tr w:rsidR="009B7A31" w:rsidRPr="00912E9B" w14:paraId="49D825D3" w14:textId="77777777" w:rsidTr="00D40051">
        <w:trPr>
          <w:cantSplit/>
        </w:trPr>
        <w:tc>
          <w:tcPr>
            <w:tcW w:w="2298" w:type="dxa"/>
            <w:shd w:val="clear" w:color="auto" w:fill="auto"/>
            <w:vAlign w:val="center"/>
          </w:tcPr>
          <w:p w14:paraId="7DA90CB2" w14:textId="55B18129" w:rsidR="004111FA" w:rsidRPr="00912E9B" w:rsidRDefault="004111FA" w:rsidP="004111FA">
            <w:pPr>
              <w:pStyle w:val="CERGlossaryTerm"/>
              <w:rPr>
                <w:rFonts w:asciiTheme="minorHAnsi" w:hAnsiTheme="minorHAnsi" w:cstheme="minorHAnsi"/>
                <w:sz w:val="22"/>
                <w:szCs w:val="22"/>
              </w:rPr>
            </w:pPr>
            <w:r w:rsidRPr="00912E9B">
              <w:rPr>
                <w:rFonts w:asciiTheme="minorHAnsi" w:hAnsiTheme="minorHAnsi" w:cstheme="minorHAnsi"/>
                <w:sz w:val="22"/>
                <w:szCs w:val="22"/>
              </w:rPr>
              <w:lastRenderedPageBreak/>
              <w:t>Minimum Continuous Intraday Price Threshold</w:t>
            </w:r>
          </w:p>
        </w:tc>
        <w:tc>
          <w:tcPr>
            <w:tcW w:w="7088" w:type="dxa"/>
            <w:shd w:val="clear" w:color="auto" w:fill="auto"/>
            <w:vAlign w:val="center"/>
          </w:tcPr>
          <w:p w14:paraId="5959171A" w14:textId="3D18740B" w:rsidR="004111FA" w:rsidRPr="00912E9B" w:rsidRDefault="004111FA"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the minimum matching price accepted for the Continuous Intraday Trading market.</w:t>
            </w:r>
          </w:p>
        </w:tc>
      </w:tr>
      <w:tr w:rsidR="009B7A31" w:rsidRPr="00912E9B" w14:paraId="6B0AEFF3" w14:textId="77777777" w:rsidTr="00D40051">
        <w:trPr>
          <w:cantSplit/>
        </w:trPr>
        <w:tc>
          <w:tcPr>
            <w:tcW w:w="2298" w:type="dxa"/>
            <w:shd w:val="clear" w:color="auto" w:fill="auto"/>
            <w:vAlign w:val="center"/>
          </w:tcPr>
          <w:p w14:paraId="6C153C38" w14:textId="3211757A" w:rsidR="004111FA" w:rsidRPr="00912E9B" w:rsidRDefault="004111FA" w:rsidP="004111FA">
            <w:pPr>
              <w:pStyle w:val="CERGlossaryTerm"/>
              <w:rPr>
                <w:rFonts w:asciiTheme="minorHAnsi" w:hAnsiTheme="minorHAnsi" w:cstheme="minorHAnsi"/>
                <w:sz w:val="22"/>
                <w:szCs w:val="22"/>
              </w:rPr>
            </w:pPr>
            <w:r w:rsidRPr="00912E9B">
              <w:rPr>
                <w:rFonts w:asciiTheme="minorHAnsi" w:hAnsiTheme="minorHAnsi" w:cstheme="minorHAnsi"/>
                <w:sz w:val="22"/>
                <w:szCs w:val="22"/>
              </w:rPr>
              <w:t>Minimum Contribution</w:t>
            </w:r>
          </w:p>
        </w:tc>
        <w:tc>
          <w:tcPr>
            <w:tcW w:w="7088" w:type="dxa"/>
            <w:shd w:val="clear" w:color="auto" w:fill="auto"/>
            <w:vAlign w:val="center"/>
          </w:tcPr>
          <w:p w14:paraId="05B42563" w14:textId="67A5E85E" w:rsidR="004111FA" w:rsidRPr="00912E9B" w:rsidRDefault="004111FA" w:rsidP="00D40051">
            <w:pPr>
              <w:pStyle w:val="CERGlossaryDefinition"/>
              <w:jc w:val="left"/>
              <w:rPr>
                <w:rFonts w:asciiTheme="minorHAnsi" w:hAnsiTheme="minorHAnsi" w:cstheme="minorHAnsi"/>
                <w:sz w:val="22"/>
                <w:szCs w:val="22"/>
              </w:rPr>
            </w:pPr>
            <w:r w:rsidRPr="00912E9B">
              <w:rPr>
                <w:rFonts w:asciiTheme="majorHAnsi" w:hAnsiTheme="majorHAnsi" w:cstheme="majorHAnsi"/>
                <w:sz w:val="22"/>
                <w:szCs w:val="22"/>
              </w:rPr>
              <w:t>means a minimum contribution in cash provide from Clearing Member</w:t>
            </w:r>
            <w:r w:rsidRPr="00912E9B">
              <w:t xml:space="preserve"> </w:t>
            </w:r>
            <w:r w:rsidRPr="00912E9B">
              <w:rPr>
                <w:rFonts w:asciiTheme="majorHAnsi" w:hAnsiTheme="majorHAnsi" w:cstheme="majorHAnsi"/>
                <w:sz w:val="22"/>
                <w:szCs w:val="22"/>
              </w:rPr>
              <w:t xml:space="preserve">to the Default Fund </w:t>
            </w:r>
            <w:proofErr w:type="gramStart"/>
            <w:r w:rsidRPr="00912E9B">
              <w:rPr>
                <w:rFonts w:asciiTheme="majorHAnsi" w:hAnsiTheme="majorHAnsi" w:cstheme="majorHAnsi"/>
                <w:sz w:val="22"/>
                <w:szCs w:val="22"/>
              </w:rPr>
              <w:t>in order to</w:t>
            </w:r>
            <w:proofErr w:type="gramEnd"/>
            <w:r w:rsidRPr="00912E9B">
              <w:rPr>
                <w:rFonts w:asciiTheme="majorHAnsi" w:hAnsiTheme="majorHAnsi" w:cstheme="majorHAnsi"/>
                <w:sz w:val="22"/>
                <w:szCs w:val="22"/>
              </w:rPr>
              <w:t xml:space="preserve"> maintain the relevant capacity.</w:t>
            </w:r>
          </w:p>
        </w:tc>
      </w:tr>
      <w:tr w:rsidR="009B7A31" w:rsidRPr="00912E9B" w14:paraId="5B613AD2" w14:textId="77777777" w:rsidTr="00D40051">
        <w:trPr>
          <w:cantSplit/>
        </w:trPr>
        <w:tc>
          <w:tcPr>
            <w:tcW w:w="2298" w:type="dxa"/>
            <w:shd w:val="clear" w:color="auto" w:fill="auto"/>
            <w:vAlign w:val="center"/>
          </w:tcPr>
          <w:p w14:paraId="6496D859" w14:textId="36420313" w:rsidR="004111FA" w:rsidRPr="00912E9B" w:rsidRDefault="004111FA" w:rsidP="004111FA">
            <w:pPr>
              <w:pStyle w:val="CERGlossaryTerm"/>
              <w:rPr>
                <w:rFonts w:asciiTheme="minorHAnsi" w:hAnsiTheme="minorHAnsi" w:cstheme="minorHAnsi"/>
                <w:sz w:val="22"/>
                <w:szCs w:val="22"/>
              </w:rPr>
            </w:pPr>
            <w:r w:rsidRPr="00912E9B">
              <w:rPr>
                <w:rFonts w:asciiTheme="minorHAnsi" w:hAnsiTheme="minorHAnsi" w:cstheme="minorHAnsi"/>
                <w:sz w:val="22"/>
                <w:szCs w:val="22"/>
              </w:rPr>
              <w:t>Minimum Day-Ahead Price</w:t>
            </w:r>
          </w:p>
        </w:tc>
        <w:tc>
          <w:tcPr>
            <w:tcW w:w="7088" w:type="dxa"/>
            <w:shd w:val="clear" w:color="auto" w:fill="auto"/>
            <w:vAlign w:val="center"/>
          </w:tcPr>
          <w:p w14:paraId="09F6C7F2" w14:textId="4DDEFEDE" w:rsidR="004111FA" w:rsidRPr="00912E9B" w:rsidRDefault="004111FA"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The minimum level of price allowed for Orders entered in a Day-Ahead Auction.</w:t>
            </w:r>
          </w:p>
        </w:tc>
      </w:tr>
      <w:tr w:rsidR="009B7A31" w:rsidRPr="00912E9B" w14:paraId="68D06290" w14:textId="77777777" w:rsidTr="00D40051">
        <w:trPr>
          <w:cantSplit/>
        </w:trPr>
        <w:tc>
          <w:tcPr>
            <w:tcW w:w="2298" w:type="dxa"/>
            <w:shd w:val="clear" w:color="auto" w:fill="auto"/>
            <w:vAlign w:val="center"/>
          </w:tcPr>
          <w:p w14:paraId="5A56A67D" w14:textId="7538425F" w:rsidR="004111FA" w:rsidRPr="00912E9B" w:rsidRDefault="004111FA" w:rsidP="004111FA">
            <w:pPr>
              <w:pStyle w:val="CERGlossaryTerm"/>
              <w:rPr>
                <w:rFonts w:asciiTheme="minorHAnsi" w:hAnsiTheme="minorHAnsi" w:cstheme="minorHAnsi"/>
                <w:sz w:val="22"/>
                <w:szCs w:val="22"/>
              </w:rPr>
            </w:pPr>
            <w:r w:rsidRPr="00912E9B">
              <w:rPr>
                <w:rFonts w:asciiTheme="minorHAnsi" w:hAnsiTheme="minorHAnsi" w:cstheme="minorHAnsi"/>
                <w:sz w:val="22"/>
                <w:szCs w:val="22"/>
              </w:rPr>
              <w:t>Minimum Day-Ahead Price Threshold</w:t>
            </w:r>
          </w:p>
        </w:tc>
        <w:tc>
          <w:tcPr>
            <w:tcW w:w="7088" w:type="dxa"/>
            <w:shd w:val="clear" w:color="auto" w:fill="auto"/>
            <w:vAlign w:val="center"/>
          </w:tcPr>
          <w:p w14:paraId="493DF442" w14:textId="525B7368" w:rsidR="004111FA" w:rsidRPr="00912E9B" w:rsidRDefault="004111FA" w:rsidP="00D40051">
            <w:pPr>
              <w:pStyle w:val="CERGlossaryDefinition"/>
              <w:jc w:val="left"/>
              <w:rPr>
                <w:rFonts w:asciiTheme="minorHAnsi" w:hAnsiTheme="minorHAnsi" w:cstheme="minorHAnsi"/>
                <w:bCs/>
                <w:sz w:val="22"/>
                <w:szCs w:val="22"/>
              </w:rPr>
            </w:pPr>
            <w:r w:rsidRPr="00912E9B">
              <w:rPr>
                <w:rFonts w:asciiTheme="minorHAnsi" w:hAnsiTheme="minorHAnsi" w:cstheme="minorHAnsi"/>
                <w:sz w:val="22"/>
                <w:szCs w:val="22"/>
              </w:rPr>
              <w:t>The minimum Clearing Price accepted in respect of a Day-Ahead Auction.</w:t>
            </w:r>
          </w:p>
        </w:tc>
      </w:tr>
      <w:tr w:rsidR="009B7A31" w:rsidRPr="00912E9B" w14:paraId="4A2FA510" w14:textId="77777777" w:rsidTr="00D40051">
        <w:trPr>
          <w:cantSplit/>
        </w:trPr>
        <w:tc>
          <w:tcPr>
            <w:tcW w:w="2298" w:type="dxa"/>
            <w:shd w:val="clear" w:color="auto" w:fill="auto"/>
            <w:vAlign w:val="center"/>
          </w:tcPr>
          <w:p w14:paraId="5E2BE921" w14:textId="29FFF75F" w:rsidR="004111FA" w:rsidRPr="00912E9B" w:rsidRDefault="004111FA" w:rsidP="004111FA">
            <w:pPr>
              <w:pStyle w:val="CERGlossaryTerm"/>
              <w:rPr>
                <w:rFonts w:asciiTheme="minorHAnsi" w:hAnsiTheme="minorHAnsi" w:cstheme="minorHAnsi"/>
                <w:sz w:val="22"/>
                <w:szCs w:val="22"/>
              </w:rPr>
            </w:pPr>
            <w:r w:rsidRPr="00912E9B">
              <w:rPr>
                <w:rFonts w:asciiTheme="minorHAnsi" w:hAnsiTheme="minorHAnsi" w:cstheme="minorHAnsi"/>
                <w:sz w:val="22"/>
                <w:szCs w:val="22"/>
              </w:rPr>
              <w:t>Minimum Intraday Auction Price</w:t>
            </w:r>
          </w:p>
        </w:tc>
        <w:tc>
          <w:tcPr>
            <w:tcW w:w="7088" w:type="dxa"/>
            <w:shd w:val="clear" w:color="auto" w:fill="auto"/>
            <w:vAlign w:val="center"/>
          </w:tcPr>
          <w:p w14:paraId="559B844F" w14:textId="19CF8FE1" w:rsidR="004111FA" w:rsidRPr="00912E9B" w:rsidRDefault="004111FA" w:rsidP="00D40051">
            <w:pPr>
              <w:pStyle w:val="CERGlossaryDefinition"/>
              <w:jc w:val="left"/>
              <w:rPr>
                <w:rFonts w:asciiTheme="minorHAnsi" w:hAnsiTheme="minorHAnsi" w:cstheme="minorHAnsi"/>
                <w:bCs/>
                <w:sz w:val="22"/>
                <w:szCs w:val="22"/>
              </w:rPr>
            </w:pPr>
            <w:r w:rsidRPr="00912E9B">
              <w:rPr>
                <w:rFonts w:asciiTheme="minorHAnsi" w:hAnsiTheme="minorHAnsi" w:cstheme="minorHAnsi"/>
                <w:sz w:val="22"/>
                <w:szCs w:val="22"/>
              </w:rPr>
              <w:t>The Minimum Clearing Price in respect of an Intraday Auction.</w:t>
            </w:r>
          </w:p>
        </w:tc>
      </w:tr>
      <w:tr w:rsidR="009B7A31" w:rsidRPr="00912E9B" w14:paraId="11A9894A" w14:textId="77777777" w:rsidTr="00D40051">
        <w:trPr>
          <w:cantSplit/>
        </w:trPr>
        <w:tc>
          <w:tcPr>
            <w:tcW w:w="2298" w:type="dxa"/>
            <w:shd w:val="clear" w:color="auto" w:fill="auto"/>
            <w:vAlign w:val="center"/>
          </w:tcPr>
          <w:p w14:paraId="5085CE5A" w14:textId="35FCB562" w:rsidR="004111FA" w:rsidRPr="00912E9B" w:rsidRDefault="004111FA" w:rsidP="004111FA">
            <w:pPr>
              <w:pStyle w:val="CERGlossaryTerm"/>
              <w:rPr>
                <w:rFonts w:asciiTheme="minorHAnsi" w:hAnsiTheme="minorHAnsi" w:cstheme="minorHAnsi"/>
                <w:sz w:val="22"/>
                <w:szCs w:val="22"/>
              </w:rPr>
            </w:pPr>
            <w:r w:rsidRPr="00912E9B">
              <w:rPr>
                <w:rFonts w:asciiTheme="minorHAnsi" w:hAnsiTheme="minorHAnsi" w:cstheme="minorHAnsi"/>
                <w:sz w:val="22"/>
                <w:szCs w:val="22"/>
              </w:rPr>
              <w:t>Minimum Intraday</w:t>
            </w:r>
            <w:r w:rsidR="004E3117" w:rsidRPr="00912E9B">
              <w:rPr>
                <w:rFonts w:asciiTheme="minorHAnsi" w:hAnsiTheme="minorHAnsi" w:cstheme="minorHAnsi"/>
                <w:sz w:val="22"/>
                <w:szCs w:val="22"/>
              </w:rPr>
              <w:t xml:space="preserve"> </w:t>
            </w:r>
            <w:r w:rsidR="00CA23E9" w:rsidRPr="00912E9B">
              <w:rPr>
                <w:rFonts w:asciiTheme="minorHAnsi" w:hAnsiTheme="minorHAnsi" w:cstheme="minorHAnsi"/>
                <w:sz w:val="22"/>
                <w:szCs w:val="22"/>
              </w:rPr>
              <w:t>Auction Price</w:t>
            </w:r>
            <w:r w:rsidRPr="00912E9B">
              <w:rPr>
                <w:rFonts w:asciiTheme="minorHAnsi" w:hAnsiTheme="minorHAnsi" w:cstheme="minorHAnsi"/>
                <w:sz w:val="22"/>
                <w:szCs w:val="22"/>
              </w:rPr>
              <w:t xml:space="preserve"> Threshold</w:t>
            </w:r>
          </w:p>
        </w:tc>
        <w:tc>
          <w:tcPr>
            <w:tcW w:w="7088" w:type="dxa"/>
            <w:shd w:val="clear" w:color="auto" w:fill="auto"/>
            <w:vAlign w:val="center"/>
          </w:tcPr>
          <w:p w14:paraId="384A3394" w14:textId="25986CAF" w:rsidR="004111FA" w:rsidRPr="00912E9B" w:rsidRDefault="004111FA"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 xml:space="preserve">The Minimum Clearing Price accepted in respect of </w:t>
            </w:r>
            <w:proofErr w:type="spellStart"/>
            <w:proofErr w:type="gramStart"/>
            <w:r w:rsidRPr="00912E9B">
              <w:rPr>
                <w:rFonts w:asciiTheme="minorHAnsi" w:hAnsiTheme="minorHAnsi" w:cstheme="minorHAnsi"/>
                <w:sz w:val="22"/>
                <w:szCs w:val="22"/>
              </w:rPr>
              <w:t>a</w:t>
            </w:r>
            <w:proofErr w:type="spellEnd"/>
            <w:proofErr w:type="gramEnd"/>
            <w:r w:rsidRPr="00912E9B">
              <w:rPr>
                <w:rFonts w:asciiTheme="minorHAnsi" w:hAnsiTheme="minorHAnsi" w:cstheme="minorHAnsi"/>
                <w:sz w:val="22"/>
                <w:szCs w:val="22"/>
              </w:rPr>
              <w:t xml:space="preserve"> Intraday Auction.</w:t>
            </w:r>
          </w:p>
        </w:tc>
      </w:tr>
      <w:tr w:rsidR="009B7A31" w:rsidRPr="00912E9B" w14:paraId="7EB06235" w14:textId="77777777" w:rsidTr="00D40051">
        <w:trPr>
          <w:cantSplit/>
        </w:trPr>
        <w:tc>
          <w:tcPr>
            <w:tcW w:w="2298" w:type="dxa"/>
            <w:shd w:val="clear" w:color="auto" w:fill="auto"/>
            <w:vAlign w:val="center"/>
          </w:tcPr>
          <w:p w14:paraId="47CE9BA0" w14:textId="19D6E567" w:rsidR="004111FA" w:rsidRPr="00912E9B" w:rsidRDefault="004111FA" w:rsidP="004111FA">
            <w:pPr>
              <w:pStyle w:val="CERGlossaryTerm"/>
              <w:rPr>
                <w:rFonts w:asciiTheme="majorHAnsi" w:hAnsiTheme="majorHAnsi" w:cstheme="majorHAnsi"/>
                <w:sz w:val="22"/>
                <w:szCs w:val="22"/>
              </w:rPr>
            </w:pPr>
            <w:r w:rsidRPr="00912E9B">
              <w:rPr>
                <w:rFonts w:asciiTheme="majorHAnsi" w:hAnsiTheme="majorHAnsi" w:cstheme="majorHAnsi"/>
                <w:sz w:val="22"/>
                <w:szCs w:val="22"/>
              </w:rPr>
              <w:t>Modification</w:t>
            </w:r>
          </w:p>
        </w:tc>
        <w:tc>
          <w:tcPr>
            <w:tcW w:w="7088" w:type="dxa"/>
            <w:shd w:val="clear" w:color="auto" w:fill="auto"/>
            <w:vAlign w:val="center"/>
          </w:tcPr>
          <w:p w14:paraId="5C352A9B" w14:textId="2F2758C6" w:rsidR="004111FA" w:rsidRPr="00912E9B" w:rsidRDefault="004111FA"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a modification to the provisions of the ALPEX Rules or the Procedures. </w:t>
            </w:r>
          </w:p>
        </w:tc>
      </w:tr>
      <w:tr w:rsidR="009B7A31" w:rsidRPr="00912E9B" w14:paraId="5B625605"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F5D20E8" w14:textId="7789F667" w:rsidR="004111FA" w:rsidRPr="00912E9B" w:rsidRDefault="004111FA" w:rsidP="004111FA">
            <w:pPr>
              <w:pStyle w:val="CERGlossaryTerm"/>
              <w:rPr>
                <w:rFonts w:asciiTheme="majorHAnsi" w:hAnsiTheme="majorHAnsi" w:cstheme="majorHAnsi"/>
                <w:sz w:val="22"/>
                <w:szCs w:val="22"/>
              </w:rPr>
            </w:pPr>
            <w:r w:rsidRPr="00912E9B">
              <w:rPr>
                <w:rFonts w:asciiTheme="majorHAnsi" w:hAnsiTheme="majorHAnsi" w:cstheme="majorHAnsi"/>
                <w:sz w:val="22"/>
                <w:szCs w:val="22"/>
              </w:rPr>
              <w:t>Modification Proposal</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2C42F96" w14:textId="11EDE937" w:rsidR="004111FA" w:rsidRPr="00912E9B" w:rsidRDefault="004111FA"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any proposal which is submitted to ALPEX to modify, </w:t>
            </w:r>
            <w:proofErr w:type="gramStart"/>
            <w:r w:rsidRPr="00912E9B">
              <w:rPr>
                <w:rFonts w:asciiTheme="majorHAnsi" w:hAnsiTheme="majorHAnsi" w:cstheme="majorHAnsi"/>
                <w:sz w:val="22"/>
                <w:szCs w:val="22"/>
              </w:rPr>
              <w:t>vary</w:t>
            </w:r>
            <w:proofErr w:type="gramEnd"/>
            <w:r w:rsidRPr="00912E9B">
              <w:rPr>
                <w:rFonts w:asciiTheme="majorHAnsi" w:hAnsiTheme="majorHAnsi" w:cstheme="majorHAnsi"/>
                <w:sz w:val="22"/>
                <w:szCs w:val="22"/>
              </w:rPr>
              <w:t xml:space="preserve"> or amend the ALPEX Rules or Procedures.</w:t>
            </w:r>
          </w:p>
        </w:tc>
      </w:tr>
      <w:tr w:rsidR="001268BA" w:rsidRPr="00912E9B" w14:paraId="222456CF"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D2686FC" w14:textId="44F4AB6F" w:rsidR="001268BA" w:rsidRPr="00912E9B" w:rsidRDefault="001268BA" w:rsidP="001268BA">
            <w:pPr>
              <w:pStyle w:val="CERGlossaryTerm"/>
              <w:rPr>
                <w:rFonts w:asciiTheme="majorHAnsi" w:hAnsiTheme="majorHAnsi" w:cstheme="majorHAnsi"/>
                <w:sz w:val="22"/>
                <w:szCs w:val="22"/>
              </w:rPr>
            </w:pPr>
            <w:r w:rsidRPr="00912E9B">
              <w:rPr>
                <w:rFonts w:asciiTheme="majorHAnsi" w:hAnsiTheme="majorHAnsi" w:cstheme="majorHAnsi"/>
                <w:sz w:val="22"/>
                <w:szCs w:val="22"/>
              </w:rPr>
              <w:t>Modifications Process</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7A15672E" w14:textId="7961A6B3" w:rsidR="001268BA" w:rsidRPr="00912E9B" w:rsidRDefault="001268BA"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the process of submitting, </w:t>
            </w:r>
            <w:proofErr w:type="gramStart"/>
            <w:r w:rsidRPr="00912E9B">
              <w:rPr>
                <w:rFonts w:asciiTheme="majorHAnsi" w:hAnsiTheme="majorHAnsi" w:cstheme="majorHAnsi"/>
                <w:sz w:val="22"/>
                <w:szCs w:val="22"/>
              </w:rPr>
              <w:t>assessing</w:t>
            </w:r>
            <w:proofErr w:type="gramEnd"/>
            <w:r w:rsidRPr="00912E9B">
              <w:rPr>
                <w:rFonts w:asciiTheme="majorHAnsi" w:hAnsiTheme="majorHAnsi" w:cstheme="majorHAnsi"/>
                <w:sz w:val="22"/>
                <w:szCs w:val="22"/>
              </w:rPr>
              <w:t xml:space="preserve"> and accepting or rejecting Modification Proposals, and making Modifications.</w:t>
            </w:r>
          </w:p>
        </w:tc>
      </w:tr>
      <w:tr w:rsidR="009B7A31" w:rsidRPr="00912E9B" w14:paraId="24D04AE2"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FBF4BA9" w14:textId="265206B2" w:rsidR="001268BA" w:rsidRPr="00912E9B" w:rsidRDefault="001268BA" w:rsidP="001268BA">
            <w:pPr>
              <w:pStyle w:val="CERGlossaryTerm"/>
              <w:rPr>
                <w:rFonts w:asciiTheme="majorHAnsi" w:hAnsiTheme="majorHAnsi" w:cstheme="majorHAnsi"/>
                <w:sz w:val="22"/>
                <w:szCs w:val="22"/>
              </w:rPr>
            </w:pPr>
            <w:r w:rsidRPr="00912E9B">
              <w:rPr>
                <w:rFonts w:asciiTheme="minorHAnsi" w:hAnsiTheme="minorHAnsi" w:cstheme="minorHAnsi"/>
                <w:sz w:val="22"/>
                <w:szCs w:val="22"/>
              </w:rPr>
              <w:t>Month</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8C691B2" w14:textId="3679C409" w:rsidR="001268BA" w:rsidRPr="00912E9B" w:rsidRDefault="001268BA"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means one calendar month</w:t>
            </w:r>
            <w:r w:rsidR="00511EEE" w:rsidRPr="00912E9B">
              <w:rPr>
                <w:rFonts w:asciiTheme="minorHAnsi" w:hAnsiTheme="minorHAnsi" w:cstheme="minorHAnsi"/>
                <w:sz w:val="22"/>
                <w:szCs w:val="22"/>
              </w:rPr>
              <w:t>.</w:t>
            </w:r>
          </w:p>
        </w:tc>
      </w:tr>
      <w:tr w:rsidR="009B7A31" w:rsidRPr="00912E9B" w14:paraId="4A4DB18C" w14:textId="77777777" w:rsidTr="00D40051">
        <w:trPr>
          <w:cantSplit/>
        </w:trPr>
        <w:tc>
          <w:tcPr>
            <w:tcW w:w="2298" w:type="dxa"/>
            <w:shd w:val="clear" w:color="auto" w:fill="auto"/>
            <w:vAlign w:val="center"/>
          </w:tcPr>
          <w:p w14:paraId="01DF035E" w14:textId="77777777" w:rsidR="001268BA" w:rsidRPr="00912E9B" w:rsidRDefault="001268BA" w:rsidP="001268BA">
            <w:pPr>
              <w:pStyle w:val="CERGlossaryTerm"/>
              <w:rPr>
                <w:rFonts w:asciiTheme="majorHAnsi" w:hAnsiTheme="majorHAnsi" w:cstheme="majorHAnsi"/>
                <w:sz w:val="22"/>
                <w:szCs w:val="22"/>
              </w:rPr>
            </w:pPr>
            <w:r w:rsidRPr="00912E9B">
              <w:rPr>
                <w:rFonts w:asciiTheme="majorHAnsi" w:hAnsiTheme="majorHAnsi" w:cstheme="majorHAnsi"/>
                <w:sz w:val="22"/>
                <w:szCs w:val="22"/>
              </w:rPr>
              <w:t>NEMO</w:t>
            </w:r>
          </w:p>
        </w:tc>
        <w:tc>
          <w:tcPr>
            <w:tcW w:w="7088" w:type="dxa"/>
            <w:shd w:val="clear" w:color="auto" w:fill="auto"/>
            <w:vAlign w:val="center"/>
          </w:tcPr>
          <w:p w14:paraId="6390EFD5" w14:textId="08C45FAE" w:rsidR="001268BA" w:rsidRPr="00912E9B" w:rsidRDefault="001268BA"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Nominated Electricity Market Operator designated according to NEMO Rule of Albania and/or Kosovo as appropriate. </w:t>
            </w:r>
          </w:p>
        </w:tc>
      </w:tr>
      <w:tr w:rsidR="009B7A31" w:rsidRPr="00912E9B" w14:paraId="17F7D5AA" w14:textId="77777777" w:rsidTr="00D40051">
        <w:trPr>
          <w:cantSplit/>
        </w:trPr>
        <w:tc>
          <w:tcPr>
            <w:tcW w:w="2298" w:type="dxa"/>
            <w:shd w:val="clear" w:color="auto" w:fill="auto"/>
            <w:vAlign w:val="center"/>
          </w:tcPr>
          <w:p w14:paraId="21A1194F" w14:textId="409DFB58" w:rsidR="001268BA" w:rsidRPr="00912E9B" w:rsidRDefault="001268BA" w:rsidP="001268BA">
            <w:pPr>
              <w:pStyle w:val="CERGlossaryTerm"/>
              <w:rPr>
                <w:rFonts w:asciiTheme="majorHAnsi" w:hAnsiTheme="majorHAnsi" w:cstheme="majorHAnsi"/>
                <w:sz w:val="22"/>
                <w:szCs w:val="22"/>
              </w:rPr>
            </w:pPr>
            <w:r w:rsidRPr="00912E9B">
              <w:rPr>
                <w:rFonts w:asciiTheme="majorHAnsi" w:hAnsiTheme="majorHAnsi" w:cstheme="majorHAnsi"/>
                <w:sz w:val="22"/>
                <w:szCs w:val="22"/>
              </w:rPr>
              <w:t>NEMO License Conditions</w:t>
            </w:r>
          </w:p>
        </w:tc>
        <w:tc>
          <w:tcPr>
            <w:tcW w:w="7088" w:type="dxa"/>
            <w:shd w:val="clear" w:color="auto" w:fill="auto"/>
            <w:vAlign w:val="center"/>
          </w:tcPr>
          <w:p w14:paraId="3C54B02F" w14:textId="7E80DD58" w:rsidR="001268BA" w:rsidRPr="00912E9B" w:rsidRDefault="001268BA"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NEMO Conditions set out in the ALPEX License.</w:t>
            </w:r>
          </w:p>
        </w:tc>
      </w:tr>
      <w:tr w:rsidR="009B7A31" w:rsidRPr="00912E9B" w14:paraId="1C7F64A6" w14:textId="77777777" w:rsidTr="00D40051">
        <w:trPr>
          <w:cantSplit/>
        </w:trPr>
        <w:tc>
          <w:tcPr>
            <w:tcW w:w="2298" w:type="dxa"/>
            <w:shd w:val="clear" w:color="auto" w:fill="auto"/>
            <w:vAlign w:val="center"/>
          </w:tcPr>
          <w:p w14:paraId="37C74432" w14:textId="30108C12" w:rsidR="001268BA" w:rsidRPr="00912E9B" w:rsidRDefault="001268BA" w:rsidP="001268BA">
            <w:pPr>
              <w:pStyle w:val="CERGlossaryTerm"/>
              <w:rPr>
                <w:rFonts w:asciiTheme="majorHAnsi" w:hAnsiTheme="majorHAnsi" w:cstheme="majorHAnsi"/>
                <w:sz w:val="22"/>
                <w:szCs w:val="22"/>
              </w:rPr>
            </w:pPr>
            <w:r w:rsidRPr="00912E9B">
              <w:rPr>
                <w:rFonts w:asciiTheme="majorHAnsi" w:hAnsiTheme="majorHAnsi" w:cstheme="majorHAnsi"/>
                <w:sz w:val="22"/>
                <w:szCs w:val="22"/>
              </w:rPr>
              <w:t>Net Position</w:t>
            </w:r>
          </w:p>
        </w:tc>
        <w:tc>
          <w:tcPr>
            <w:tcW w:w="7088" w:type="dxa"/>
            <w:shd w:val="clear" w:color="auto" w:fill="auto"/>
            <w:vAlign w:val="center"/>
          </w:tcPr>
          <w:p w14:paraId="729014EB" w14:textId="1E051C79" w:rsidR="001268BA" w:rsidRPr="00912E9B" w:rsidRDefault="001268BA"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netted sum of electricity exports and imports for each Market Time Unit for a Bidding Zone.</w:t>
            </w:r>
          </w:p>
        </w:tc>
      </w:tr>
      <w:tr w:rsidR="006A32E6" w:rsidRPr="00912E9B" w14:paraId="55390D0F" w14:textId="77777777" w:rsidTr="00D40051">
        <w:trPr>
          <w:cantSplit/>
        </w:trPr>
        <w:tc>
          <w:tcPr>
            <w:tcW w:w="2298" w:type="dxa"/>
            <w:shd w:val="clear" w:color="auto" w:fill="auto"/>
            <w:vAlign w:val="center"/>
          </w:tcPr>
          <w:p w14:paraId="3A553A16" w14:textId="1BA53FA5" w:rsidR="006A32E6" w:rsidRPr="00912E9B" w:rsidRDefault="006A32E6" w:rsidP="006A32E6">
            <w:pPr>
              <w:pStyle w:val="CERGlossaryTerm"/>
              <w:rPr>
                <w:rFonts w:asciiTheme="majorHAnsi" w:hAnsiTheme="majorHAnsi" w:cstheme="majorHAnsi"/>
                <w:sz w:val="22"/>
                <w:szCs w:val="22"/>
              </w:rPr>
            </w:pPr>
            <w:r w:rsidRPr="00912E9B">
              <w:rPr>
                <w:rFonts w:asciiTheme="minorHAnsi" w:hAnsiTheme="minorHAnsi" w:cstheme="minorHAnsi"/>
                <w:sz w:val="22"/>
                <w:szCs w:val="22"/>
              </w:rPr>
              <w:t>Non-Clearing Member</w:t>
            </w:r>
          </w:p>
        </w:tc>
        <w:tc>
          <w:tcPr>
            <w:tcW w:w="7088" w:type="dxa"/>
            <w:shd w:val="clear" w:color="auto" w:fill="auto"/>
            <w:vAlign w:val="center"/>
          </w:tcPr>
          <w:p w14:paraId="72A23E33" w14:textId="10D3B526" w:rsidR="006A32E6" w:rsidRPr="00912E9B" w:rsidRDefault="006A32E6" w:rsidP="00D40051">
            <w:pPr>
              <w:pStyle w:val="CERLEVEL4"/>
              <w:keepNext w:val="0"/>
              <w:numPr>
                <w:ilvl w:val="0"/>
                <w:numId w:val="0"/>
              </w:numPr>
              <w:ind w:left="36"/>
              <w:jc w:val="left"/>
              <w:rPr>
                <w:rFonts w:asciiTheme="majorHAnsi" w:hAnsiTheme="majorHAnsi" w:cstheme="majorHAnsi"/>
              </w:rPr>
            </w:pPr>
            <w:r w:rsidRPr="00912E9B">
              <w:rPr>
                <w:rFonts w:asciiTheme="minorHAnsi" w:hAnsiTheme="minorHAnsi" w:cstheme="minorHAnsi"/>
              </w:rPr>
              <w:t xml:space="preserve">An Exchange Member in </w:t>
            </w:r>
            <w:r w:rsidR="0013637D" w:rsidRPr="00912E9B">
              <w:rPr>
                <w:rFonts w:asciiTheme="minorHAnsi" w:hAnsiTheme="minorHAnsi" w:cstheme="minorHAnsi"/>
              </w:rPr>
              <w:t>ALPEX</w:t>
            </w:r>
            <w:r w:rsidRPr="00912E9B">
              <w:rPr>
                <w:rFonts w:asciiTheme="minorHAnsi" w:hAnsiTheme="minorHAnsi" w:cstheme="minorHAnsi"/>
              </w:rPr>
              <w:t xml:space="preserve"> Markets which does not have the capacity of Clearing Member and cooperates with at least one General Clearing Member for the Clearing of Transactions it conducts in the ALPEX Markets, in accordance with the terms of the Clearing and Settlement Procedures.</w:t>
            </w:r>
          </w:p>
        </w:tc>
      </w:tr>
      <w:tr w:rsidR="009B7A31" w:rsidRPr="00912E9B" w14:paraId="02345634" w14:textId="77777777" w:rsidTr="00D40051">
        <w:trPr>
          <w:cantSplit/>
        </w:trPr>
        <w:tc>
          <w:tcPr>
            <w:tcW w:w="2298" w:type="dxa"/>
            <w:shd w:val="clear" w:color="auto" w:fill="auto"/>
            <w:vAlign w:val="center"/>
          </w:tcPr>
          <w:p w14:paraId="19CCA564" w14:textId="4DD90926"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 xml:space="preserve">Non-Compliance Event </w:t>
            </w:r>
          </w:p>
        </w:tc>
        <w:tc>
          <w:tcPr>
            <w:tcW w:w="7088" w:type="dxa"/>
            <w:shd w:val="clear" w:color="auto" w:fill="auto"/>
            <w:vAlign w:val="center"/>
          </w:tcPr>
          <w:p w14:paraId="1F16932D" w14:textId="3772FD1B" w:rsidR="006A32E6" w:rsidRPr="00912E9B" w:rsidRDefault="006A32E6" w:rsidP="00D40051">
            <w:pPr>
              <w:pStyle w:val="CERLEVEL4"/>
              <w:keepNext w:val="0"/>
              <w:numPr>
                <w:ilvl w:val="0"/>
                <w:numId w:val="0"/>
              </w:numPr>
              <w:ind w:left="36"/>
              <w:jc w:val="left"/>
              <w:rPr>
                <w:rFonts w:asciiTheme="majorHAnsi" w:hAnsiTheme="majorHAnsi" w:cstheme="majorHAnsi"/>
              </w:rPr>
            </w:pPr>
            <w:r w:rsidRPr="00912E9B">
              <w:rPr>
                <w:rFonts w:asciiTheme="majorHAnsi" w:hAnsiTheme="majorHAnsi" w:cstheme="majorHAnsi"/>
              </w:rPr>
              <w:t>means an event that exists if an Exchange Member in the reasonable opinion of ALPEX:</w:t>
            </w:r>
          </w:p>
          <w:p w14:paraId="4018F466" w14:textId="1E0B365E" w:rsidR="006A32E6" w:rsidRPr="00912E9B" w:rsidRDefault="006A32E6" w:rsidP="00D40051">
            <w:pPr>
              <w:pStyle w:val="CERLEVEL5"/>
              <w:numPr>
                <w:ilvl w:val="4"/>
                <w:numId w:val="50"/>
              </w:numPr>
              <w:ind w:left="391"/>
              <w:jc w:val="left"/>
              <w:rPr>
                <w:rFonts w:asciiTheme="majorHAnsi" w:hAnsiTheme="majorHAnsi" w:cstheme="majorHAnsi"/>
              </w:rPr>
            </w:pPr>
            <w:r w:rsidRPr="00912E9B">
              <w:rPr>
                <w:rFonts w:asciiTheme="majorHAnsi" w:hAnsiTheme="majorHAnsi" w:cstheme="majorHAnsi"/>
              </w:rPr>
              <w:t xml:space="preserve">does not fulfil its obligation under any of the documents and/or agreement that are part of the ALPEX Rules </w:t>
            </w:r>
            <w:proofErr w:type="spellStart"/>
            <w:r w:rsidRPr="00912E9B">
              <w:rPr>
                <w:rFonts w:asciiTheme="majorHAnsi" w:hAnsiTheme="majorHAnsi" w:cstheme="majorHAnsi"/>
              </w:rPr>
              <w:t>and</w:t>
            </w:r>
            <w:r w:rsidR="008A4B07" w:rsidRPr="00912E9B">
              <w:rPr>
                <w:rFonts w:asciiTheme="majorHAnsi" w:hAnsiTheme="majorHAnsi" w:cstheme="majorHAnsi"/>
              </w:rPr>
              <w:t>the</w:t>
            </w:r>
            <w:proofErr w:type="spellEnd"/>
            <w:r w:rsidRPr="00912E9B">
              <w:rPr>
                <w:rFonts w:asciiTheme="majorHAnsi" w:hAnsiTheme="majorHAnsi" w:cstheme="majorHAnsi"/>
              </w:rPr>
              <w:t xml:space="preserve"> Procedures; or </w:t>
            </w:r>
          </w:p>
          <w:p w14:paraId="5AF19D81" w14:textId="68AB6CF5" w:rsidR="006A32E6" w:rsidRPr="00912E9B" w:rsidRDefault="006A32E6" w:rsidP="00D40051">
            <w:pPr>
              <w:pStyle w:val="CERLEVEL5"/>
              <w:numPr>
                <w:ilvl w:val="4"/>
                <w:numId w:val="50"/>
              </w:numPr>
              <w:ind w:left="391"/>
              <w:jc w:val="left"/>
              <w:rPr>
                <w:rFonts w:asciiTheme="majorHAnsi" w:hAnsiTheme="majorHAnsi" w:cstheme="majorHAnsi"/>
              </w:rPr>
            </w:pPr>
            <w:r w:rsidRPr="00912E9B">
              <w:rPr>
                <w:rFonts w:asciiTheme="majorHAnsi" w:hAnsiTheme="majorHAnsi" w:cstheme="majorHAnsi"/>
              </w:rPr>
              <w:t xml:space="preserve">is in breach of Applicable Law and such breach affects or will affect the Exchange Member’s ability to comply with the ALPEX Rules </w:t>
            </w:r>
            <w:r w:rsidR="008A4B07" w:rsidRPr="00912E9B">
              <w:rPr>
                <w:rFonts w:asciiTheme="majorHAnsi" w:hAnsiTheme="majorHAnsi" w:cstheme="majorHAnsi"/>
              </w:rPr>
              <w:t xml:space="preserve">and the Procedures </w:t>
            </w:r>
            <w:r w:rsidRPr="00912E9B">
              <w:rPr>
                <w:rFonts w:asciiTheme="majorHAnsi" w:hAnsiTheme="majorHAnsi" w:cstheme="majorHAnsi"/>
              </w:rPr>
              <w:t xml:space="preserve">and related documents. </w:t>
            </w:r>
          </w:p>
        </w:tc>
      </w:tr>
      <w:tr w:rsidR="00EC799F" w:rsidRPr="00912E9B" w14:paraId="66F5AE8A" w14:textId="77777777" w:rsidTr="00D40051">
        <w:trPr>
          <w:cantSplit/>
        </w:trPr>
        <w:tc>
          <w:tcPr>
            <w:tcW w:w="2298" w:type="dxa"/>
            <w:shd w:val="clear" w:color="auto" w:fill="auto"/>
            <w:vAlign w:val="center"/>
          </w:tcPr>
          <w:p w14:paraId="74D8163C" w14:textId="51E8F0D3" w:rsidR="00EC799F" w:rsidRPr="00912E9B" w:rsidRDefault="00EC799F"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Material Non-Compliance Event</w:t>
            </w:r>
          </w:p>
        </w:tc>
        <w:tc>
          <w:tcPr>
            <w:tcW w:w="7088" w:type="dxa"/>
            <w:shd w:val="clear" w:color="auto" w:fill="auto"/>
            <w:vAlign w:val="center"/>
          </w:tcPr>
          <w:p w14:paraId="20DA04C5" w14:textId="562F1349" w:rsidR="00EC799F" w:rsidRPr="00912E9B" w:rsidRDefault="000D3F00" w:rsidP="00D40051">
            <w:pPr>
              <w:pStyle w:val="CERLEVEL4"/>
              <w:keepNext w:val="0"/>
              <w:numPr>
                <w:ilvl w:val="0"/>
                <w:numId w:val="0"/>
              </w:numPr>
              <w:ind w:left="36"/>
              <w:jc w:val="left"/>
              <w:rPr>
                <w:rFonts w:asciiTheme="majorHAnsi" w:hAnsiTheme="majorHAnsi" w:cstheme="majorHAnsi"/>
              </w:rPr>
            </w:pPr>
            <w:r w:rsidRPr="00912E9B">
              <w:rPr>
                <w:rFonts w:asciiTheme="majorHAnsi" w:hAnsiTheme="majorHAnsi" w:cstheme="majorHAnsi"/>
              </w:rPr>
              <w:t xml:space="preserve">Has </w:t>
            </w:r>
            <w:r w:rsidR="009D09CD" w:rsidRPr="00912E9B">
              <w:rPr>
                <w:rFonts w:asciiTheme="majorHAnsi" w:hAnsiTheme="majorHAnsi" w:cstheme="majorHAnsi"/>
              </w:rPr>
              <w:t>it given</w:t>
            </w:r>
            <w:r w:rsidRPr="00912E9B">
              <w:rPr>
                <w:rFonts w:asciiTheme="majorHAnsi" w:hAnsiTheme="majorHAnsi" w:cstheme="majorHAnsi"/>
              </w:rPr>
              <w:t xml:space="preserve"> </w:t>
            </w:r>
            <w:r w:rsidR="009D09CD" w:rsidRPr="00912E9B">
              <w:rPr>
                <w:rFonts w:asciiTheme="majorHAnsi" w:hAnsiTheme="majorHAnsi" w:cstheme="majorHAnsi"/>
              </w:rPr>
              <w:t xml:space="preserve">in paragraph D.3.2 of ALPEX Rules </w:t>
            </w:r>
          </w:p>
        </w:tc>
      </w:tr>
      <w:tr w:rsidR="009B7A31" w:rsidRPr="00912E9B" w14:paraId="1A9B3F25" w14:textId="77777777" w:rsidTr="00D40051">
        <w:trPr>
          <w:cantSplit/>
        </w:trPr>
        <w:tc>
          <w:tcPr>
            <w:tcW w:w="2298" w:type="dxa"/>
            <w:shd w:val="clear" w:color="auto" w:fill="auto"/>
            <w:vAlign w:val="center"/>
          </w:tcPr>
          <w:p w14:paraId="017DF0CC" w14:textId="1E7E2651" w:rsidR="006A32E6" w:rsidRPr="00912E9B" w:rsidRDefault="006A32E6" w:rsidP="006A32E6">
            <w:pPr>
              <w:pStyle w:val="CERGlossaryTerm"/>
              <w:rPr>
                <w:rFonts w:asciiTheme="majorHAnsi" w:hAnsiTheme="majorHAnsi" w:cstheme="majorHAnsi"/>
                <w:sz w:val="22"/>
                <w:szCs w:val="22"/>
              </w:rPr>
            </w:pPr>
            <w:r w:rsidRPr="00912E9B">
              <w:rPr>
                <w:rFonts w:asciiTheme="minorHAnsi" w:hAnsiTheme="minorHAnsi" w:cstheme="minorHAnsi"/>
                <w:sz w:val="22"/>
                <w:szCs w:val="22"/>
              </w:rPr>
              <w:t>None – NON condition</w:t>
            </w:r>
          </w:p>
        </w:tc>
        <w:tc>
          <w:tcPr>
            <w:tcW w:w="7088" w:type="dxa"/>
            <w:shd w:val="clear" w:color="auto" w:fill="auto"/>
            <w:vAlign w:val="center"/>
          </w:tcPr>
          <w:p w14:paraId="578B6B2B" w14:textId="24998CFB" w:rsidR="006A32E6" w:rsidRPr="00912E9B" w:rsidRDefault="006A32E6" w:rsidP="00D40051">
            <w:pPr>
              <w:pStyle w:val="CERLEVEL4"/>
              <w:keepNext w:val="0"/>
              <w:numPr>
                <w:ilvl w:val="0"/>
                <w:numId w:val="0"/>
              </w:numPr>
              <w:ind w:left="36"/>
              <w:jc w:val="left"/>
              <w:rPr>
                <w:rFonts w:asciiTheme="majorHAnsi" w:hAnsiTheme="majorHAnsi" w:cstheme="majorHAnsi"/>
              </w:rPr>
            </w:pPr>
            <w:r w:rsidRPr="00912E9B">
              <w:rPr>
                <w:rFonts w:asciiTheme="minorHAnsi" w:hAnsiTheme="minorHAnsi" w:cstheme="minorHAnsi"/>
              </w:rPr>
              <w:t xml:space="preserve">Execution condition on Orders entered in the Intraday Continuous Trading Solution as provided in paragraph D.1.6.1 of the </w:t>
            </w:r>
            <w:proofErr w:type="gramStart"/>
            <w:r w:rsidRPr="00912E9B">
              <w:rPr>
                <w:rFonts w:asciiTheme="minorHAnsi" w:hAnsiTheme="minorHAnsi" w:cstheme="minorHAnsi"/>
              </w:rPr>
              <w:t>Trading  Procedures</w:t>
            </w:r>
            <w:proofErr w:type="gramEnd"/>
            <w:r w:rsidRPr="00912E9B">
              <w:rPr>
                <w:rFonts w:asciiTheme="minorHAnsi" w:hAnsiTheme="minorHAnsi" w:cstheme="minorHAnsi"/>
              </w:rPr>
              <w:t>.</w:t>
            </w:r>
          </w:p>
        </w:tc>
      </w:tr>
      <w:tr w:rsidR="009B7A31" w:rsidRPr="00912E9B" w14:paraId="11A332C3" w14:textId="77777777" w:rsidTr="00D40051">
        <w:trPr>
          <w:cantSplit/>
        </w:trPr>
        <w:tc>
          <w:tcPr>
            <w:tcW w:w="2298" w:type="dxa"/>
            <w:shd w:val="clear" w:color="auto" w:fill="auto"/>
            <w:vAlign w:val="center"/>
          </w:tcPr>
          <w:p w14:paraId="5AA87997" w14:textId="77777777"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Notice of Dispute</w:t>
            </w:r>
          </w:p>
        </w:tc>
        <w:tc>
          <w:tcPr>
            <w:tcW w:w="7088" w:type="dxa"/>
            <w:shd w:val="clear" w:color="auto" w:fill="auto"/>
            <w:vAlign w:val="center"/>
          </w:tcPr>
          <w:p w14:paraId="0C4D6EE0" w14:textId="6ECE9BF7" w:rsidR="006A32E6" w:rsidRPr="00912E9B" w:rsidRDefault="006A32E6"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notice in a written document sent by ALPEX to a Party when a dispute arises</w:t>
            </w:r>
          </w:p>
        </w:tc>
      </w:tr>
      <w:tr w:rsidR="009B7A31" w:rsidRPr="00912E9B" w14:paraId="09D3DBF6" w14:textId="77777777" w:rsidTr="00D40051">
        <w:trPr>
          <w:cantSplit/>
        </w:trPr>
        <w:tc>
          <w:tcPr>
            <w:tcW w:w="2298" w:type="dxa"/>
            <w:shd w:val="clear" w:color="auto" w:fill="auto"/>
            <w:vAlign w:val="center"/>
          </w:tcPr>
          <w:p w14:paraId="3CDF1CD6" w14:textId="07423B09"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Order</w:t>
            </w:r>
          </w:p>
        </w:tc>
        <w:tc>
          <w:tcPr>
            <w:tcW w:w="7088" w:type="dxa"/>
            <w:shd w:val="clear" w:color="auto" w:fill="auto"/>
            <w:vAlign w:val="center"/>
          </w:tcPr>
          <w:p w14:paraId="566207D8" w14:textId="37CBCE1C" w:rsidR="006A32E6" w:rsidRPr="00912E9B" w:rsidRDefault="006A32E6" w:rsidP="00D40051">
            <w:pPr>
              <w:pStyle w:val="CERGlossaryDefinition"/>
              <w:jc w:val="left"/>
              <w:rPr>
                <w:rFonts w:asciiTheme="majorHAnsi" w:hAnsiTheme="majorHAnsi" w:cstheme="majorHAnsi"/>
                <w:bCs/>
                <w:sz w:val="22"/>
                <w:szCs w:val="22"/>
              </w:rPr>
            </w:pPr>
            <w:r w:rsidRPr="00912E9B">
              <w:rPr>
                <w:rFonts w:asciiTheme="majorHAnsi" w:hAnsiTheme="majorHAnsi" w:cstheme="majorHAnsi"/>
                <w:bCs/>
                <w:sz w:val="22"/>
                <w:szCs w:val="22"/>
              </w:rPr>
              <w:t>means an Exchange Member’s offer to sell, or bid to buy electricity within the Albania or Kosovo</w:t>
            </w:r>
            <w:r w:rsidRPr="00912E9B" w:rsidDel="000A0D11">
              <w:rPr>
                <w:rFonts w:asciiTheme="majorHAnsi" w:hAnsiTheme="majorHAnsi" w:cstheme="majorHAnsi"/>
                <w:bCs/>
                <w:sz w:val="22"/>
                <w:szCs w:val="22"/>
              </w:rPr>
              <w:t xml:space="preserve"> </w:t>
            </w:r>
            <w:r w:rsidRPr="00912E9B">
              <w:rPr>
                <w:rFonts w:asciiTheme="majorHAnsi" w:hAnsiTheme="majorHAnsi" w:cstheme="majorHAnsi"/>
                <w:bCs/>
                <w:sz w:val="22"/>
                <w:szCs w:val="22"/>
              </w:rPr>
              <w:t>Bidding Zone, in relation to a specified Portfolio, MTU, volume and price in accordance with the specifications for the Product concerned</w:t>
            </w:r>
          </w:p>
        </w:tc>
      </w:tr>
      <w:tr w:rsidR="009B7A31" w:rsidRPr="00912E9B" w14:paraId="6315D6DA" w14:textId="77777777" w:rsidTr="00D40051">
        <w:trPr>
          <w:cantSplit/>
        </w:trPr>
        <w:tc>
          <w:tcPr>
            <w:tcW w:w="2298" w:type="dxa"/>
            <w:shd w:val="clear" w:color="auto" w:fill="auto"/>
            <w:vAlign w:val="center"/>
          </w:tcPr>
          <w:p w14:paraId="1FAA34D3" w14:textId="77777777"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Order Book</w:t>
            </w:r>
          </w:p>
        </w:tc>
        <w:tc>
          <w:tcPr>
            <w:tcW w:w="7088" w:type="dxa"/>
            <w:shd w:val="clear" w:color="auto" w:fill="auto"/>
            <w:vAlign w:val="center"/>
          </w:tcPr>
          <w:p w14:paraId="5FB94EEE" w14:textId="5F0F3B4D" w:rsidR="006A32E6" w:rsidRPr="00912E9B" w:rsidRDefault="006A32E6" w:rsidP="00D40051">
            <w:pPr>
              <w:pStyle w:val="CERGlossaryDefinition"/>
              <w:jc w:val="left"/>
              <w:rPr>
                <w:rFonts w:asciiTheme="majorHAnsi" w:hAnsiTheme="majorHAnsi" w:cstheme="majorHAnsi"/>
                <w:bCs/>
                <w:sz w:val="22"/>
                <w:szCs w:val="22"/>
              </w:rPr>
            </w:pPr>
            <w:r w:rsidRPr="00912E9B">
              <w:rPr>
                <w:rFonts w:asciiTheme="majorHAnsi" w:hAnsiTheme="majorHAnsi" w:cstheme="majorHAnsi"/>
                <w:bCs/>
                <w:sz w:val="22"/>
                <w:szCs w:val="22"/>
              </w:rPr>
              <w:t>means the on-line summary where Orders entered by the Exchange Members into the ETSS for trading in the Wholesale Market Energy where Products are listed</w:t>
            </w:r>
          </w:p>
        </w:tc>
      </w:tr>
      <w:tr w:rsidR="001A0E21" w:rsidRPr="00912E9B" w14:paraId="572061E7" w14:textId="77777777" w:rsidTr="00D40051">
        <w:trPr>
          <w:cantSplit/>
        </w:trPr>
        <w:tc>
          <w:tcPr>
            <w:tcW w:w="2298" w:type="dxa"/>
            <w:shd w:val="clear" w:color="auto" w:fill="auto"/>
            <w:vAlign w:val="center"/>
          </w:tcPr>
          <w:p w14:paraId="5F60A5FC" w14:textId="13F1FAEB" w:rsidR="001A0E21" w:rsidRPr="00912E9B" w:rsidRDefault="001A0E21"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O</w:t>
            </w:r>
            <w:r w:rsidR="00006A80" w:rsidRPr="00912E9B">
              <w:rPr>
                <w:rFonts w:asciiTheme="majorHAnsi" w:hAnsiTheme="majorHAnsi" w:cstheme="majorHAnsi"/>
                <w:sz w:val="22"/>
                <w:szCs w:val="22"/>
              </w:rPr>
              <w:t>rde Type</w:t>
            </w:r>
          </w:p>
        </w:tc>
        <w:tc>
          <w:tcPr>
            <w:tcW w:w="7088" w:type="dxa"/>
            <w:shd w:val="clear" w:color="auto" w:fill="auto"/>
            <w:vAlign w:val="center"/>
          </w:tcPr>
          <w:p w14:paraId="19CC8BEA" w14:textId="10C8DFE6" w:rsidR="001A0E21" w:rsidRPr="00912E9B" w:rsidRDefault="00DA4B84" w:rsidP="00D40051">
            <w:pPr>
              <w:pStyle w:val="CERGlossaryDefinition"/>
              <w:jc w:val="left"/>
              <w:rPr>
                <w:rFonts w:asciiTheme="majorHAnsi" w:hAnsiTheme="majorHAnsi" w:cstheme="majorHAnsi"/>
                <w:bCs/>
                <w:sz w:val="22"/>
                <w:szCs w:val="22"/>
              </w:rPr>
            </w:pPr>
            <w:r w:rsidRPr="00912E9B">
              <w:rPr>
                <w:rFonts w:asciiTheme="majorHAnsi" w:hAnsiTheme="majorHAnsi" w:cstheme="majorHAnsi"/>
                <w:bCs/>
                <w:sz w:val="22"/>
                <w:szCs w:val="22"/>
              </w:rPr>
              <w:t xml:space="preserve">Given the meaning in </w:t>
            </w:r>
            <w:r w:rsidR="00AA26B3" w:rsidRPr="00912E9B">
              <w:rPr>
                <w:rFonts w:asciiTheme="majorHAnsi" w:hAnsiTheme="majorHAnsi" w:cstheme="majorHAnsi"/>
                <w:bCs/>
                <w:sz w:val="22"/>
                <w:szCs w:val="22"/>
              </w:rPr>
              <w:t>sec</w:t>
            </w:r>
            <w:r w:rsidR="00503BFC" w:rsidRPr="00912E9B">
              <w:rPr>
                <w:rFonts w:asciiTheme="majorHAnsi" w:hAnsiTheme="majorHAnsi" w:cstheme="majorHAnsi"/>
                <w:bCs/>
                <w:sz w:val="22"/>
                <w:szCs w:val="22"/>
              </w:rPr>
              <w:t xml:space="preserve">tion B.1.3 of </w:t>
            </w:r>
            <w:r w:rsidRPr="00912E9B">
              <w:rPr>
                <w:rFonts w:asciiTheme="majorHAnsi" w:hAnsiTheme="majorHAnsi" w:cstheme="majorHAnsi"/>
                <w:bCs/>
                <w:sz w:val="22"/>
                <w:szCs w:val="22"/>
              </w:rPr>
              <w:t xml:space="preserve">the Trading Procedures </w:t>
            </w:r>
          </w:p>
        </w:tc>
      </w:tr>
      <w:tr w:rsidR="009B7A31" w:rsidRPr="00912E9B" w14:paraId="38274A13" w14:textId="77777777" w:rsidTr="00D40051">
        <w:trPr>
          <w:cantSplit/>
        </w:trPr>
        <w:tc>
          <w:tcPr>
            <w:tcW w:w="2298" w:type="dxa"/>
            <w:shd w:val="clear" w:color="auto" w:fill="auto"/>
            <w:vAlign w:val="center"/>
          </w:tcPr>
          <w:p w14:paraId="0ADE90A1" w14:textId="308C02F0"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OST</w:t>
            </w:r>
          </w:p>
        </w:tc>
        <w:tc>
          <w:tcPr>
            <w:tcW w:w="7088" w:type="dxa"/>
            <w:shd w:val="clear" w:color="auto" w:fill="auto"/>
            <w:vAlign w:val="center"/>
          </w:tcPr>
          <w:p w14:paraId="175F2551" w14:textId="245EE7C6" w:rsidR="006A32E6" w:rsidRPr="00912E9B" w:rsidRDefault="006A32E6"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an entity which is licenced by ERE for operation, provide security, </w:t>
            </w:r>
            <w:proofErr w:type="gramStart"/>
            <w:r w:rsidRPr="00912E9B">
              <w:rPr>
                <w:rFonts w:asciiTheme="majorHAnsi" w:hAnsiTheme="majorHAnsi" w:cstheme="majorHAnsi"/>
                <w:sz w:val="22"/>
                <w:szCs w:val="22"/>
              </w:rPr>
              <w:t>maintenance</w:t>
            </w:r>
            <w:proofErr w:type="gramEnd"/>
            <w:r w:rsidRPr="00912E9B">
              <w:rPr>
                <w:rFonts w:asciiTheme="majorHAnsi" w:hAnsiTheme="majorHAnsi" w:cstheme="majorHAnsi"/>
                <w:sz w:val="22"/>
                <w:szCs w:val="22"/>
              </w:rPr>
              <w:t xml:space="preserve"> and development of transmission system of Albania.</w:t>
            </w:r>
          </w:p>
        </w:tc>
      </w:tr>
      <w:tr w:rsidR="009B7A31" w:rsidRPr="00912E9B" w14:paraId="2A62670A" w14:textId="77777777" w:rsidTr="00D40051">
        <w:trPr>
          <w:cantSplit/>
        </w:trPr>
        <w:tc>
          <w:tcPr>
            <w:tcW w:w="2298" w:type="dxa"/>
            <w:shd w:val="clear" w:color="auto" w:fill="auto"/>
            <w:vAlign w:val="center"/>
          </w:tcPr>
          <w:p w14:paraId="0A6ED5DB" w14:textId="0D9F175E"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Over the Counter (OTC) contract</w:t>
            </w:r>
          </w:p>
        </w:tc>
        <w:tc>
          <w:tcPr>
            <w:tcW w:w="7088" w:type="dxa"/>
            <w:shd w:val="clear" w:color="auto" w:fill="auto"/>
            <w:vAlign w:val="center"/>
          </w:tcPr>
          <w:p w14:paraId="590EDDDE" w14:textId="25EB706C" w:rsidR="006A32E6" w:rsidRPr="00912E9B" w:rsidRDefault="006A32E6"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long-term domestic trades, which will be based on a bilateral financial contract, where the electricity will be traded through the Exchange.</w:t>
            </w:r>
          </w:p>
        </w:tc>
      </w:tr>
      <w:tr w:rsidR="009B7A31" w:rsidRPr="00912E9B" w14:paraId="5969077B" w14:textId="77777777" w:rsidTr="00D40051">
        <w:trPr>
          <w:cantSplit/>
        </w:trPr>
        <w:tc>
          <w:tcPr>
            <w:tcW w:w="2298" w:type="dxa"/>
            <w:shd w:val="clear" w:color="auto" w:fill="auto"/>
            <w:vAlign w:val="center"/>
          </w:tcPr>
          <w:p w14:paraId="0A80843F" w14:textId="20456685" w:rsidR="006A32E6" w:rsidRPr="00912E9B" w:rsidRDefault="006A32E6" w:rsidP="006A32E6">
            <w:pPr>
              <w:pStyle w:val="CERGlossaryTerm"/>
              <w:rPr>
                <w:rFonts w:asciiTheme="majorHAnsi" w:hAnsiTheme="majorHAnsi" w:cstheme="majorHAnsi"/>
                <w:sz w:val="22"/>
                <w:szCs w:val="22"/>
              </w:rPr>
            </w:pPr>
            <w:r w:rsidRPr="00912E9B">
              <w:rPr>
                <w:rFonts w:asciiTheme="minorHAnsi" w:hAnsiTheme="minorHAnsi" w:cstheme="minorHAnsi"/>
                <w:sz w:val="22"/>
                <w:szCs w:val="22"/>
              </w:rPr>
              <w:t>Own Clearing Account</w:t>
            </w:r>
          </w:p>
        </w:tc>
        <w:tc>
          <w:tcPr>
            <w:tcW w:w="7088" w:type="dxa"/>
            <w:shd w:val="clear" w:color="auto" w:fill="auto"/>
            <w:vAlign w:val="center"/>
          </w:tcPr>
          <w:p w14:paraId="7F5E22C6" w14:textId="37293379" w:rsidR="006A32E6" w:rsidRPr="00912E9B" w:rsidRDefault="006A32E6"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The account held in the EMCS by a Direct Clearing Member in its own name for the Clearing of the Transactions it conducts as a</w:t>
            </w:r>
            <w:r w:rsidR="00AF119B" w:rsidRPr="00912E9B">
              <w:rPr>
                <w:rFonts w:asciiTheme="minorHAnsi" w:hAnsiTheme="minorHAnsi" w:cstheme="minorHAnsi"/>
                <w:sz w:val="22"/>
                <w:szCs w:val="22"/>
              </w:rPr>
              <w:t>n</w:t>
            </w:r>
            <w:r w:rsidRPr="00912E9B">
              <w:rPr>
                <w:rFonts w:asciiTheme="minorHAnsi" w:hAnsiTheme="minorHAnsi" w:cstheme="minorHAnsi"/>
                <w:sz w:val="22"/>
                <w:szCs w:val="22"/>
              </w:rPr>
              <w:t xml:space="preserve"> Exchange Member in ALPEX Markets</w:t>
            </w:r>
          </w:p>
        </w:tc>
      </w:tr>
      <w:tr w:rsidR="009B7A31" w:rsidRPr="00912E9B" w14:paraId="34A319C7" w14:textId="77777777" w:rsidTr="00D40051">
        <w:trPr>
          <w:cantSplit/>
        </w:trPr>
        <w:tc>
          <w:tcPr>
            <w:tcW w:w="2298" w:type="dxa"/>
            <w:shd w:val="clear" w:color="auto" w:fill="auto"/>
            <w:vAlign w:val="center"/>
          </w:tcPr>
          <w:p w14:paraId="61A6C546" w14:textId="4BA4D9CE"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Pan-European Continuous Intra</w:t>
            </w:r>
            <w:r w:rsidR="00380252" w:rsidRPr="00912E9B">
              <w:rPr>
                <w:rFonts w:asciiTheme="majorHAnsi" w:hAnsiTheme="majorHAnsi" w:cstheme="majorHAnsi"/>
                <w:sz w:val="22"/>
                <w:szCs w:val="22"/>
              </w:rPr>
              <w:t>d</w:t>
            </w:r>
            <w:r w:rsidRPr="00912E9B">
              <w:rPr>
                <w:rFonts w:asciiTheme="majorHAnsi" w:hAnsiTheme="majorHAnsi" w:cstheme="majorHAnsi"/>
                <w:sz w:val="22"/>
                <w:szCs w:val="22"/>
              </w:rPr>
              <w:t>ay Trading (XBID).</w:t>
            </w:r>
          </w:p>
        </w:tc>
        <w:tc>
          <w:tcPr>
            <w:tcW w:w="7088" w:type="dxa"/>
            <w:shd w:val="clear" w:color="auto" w:fill="auto"/>
            <w:vAlign w:val="center"/>
          </w:tcPr>
          <w:p w14:paraId="55EB081D" w14:textId="5C6F8E12" w:rsidR="006A32E6" w:rsidRPr="00912E9B" w:rsidRDefault="006A32E6"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electronic platform used as part of the operation of the Pan-European Continuous Intraday Trading.</w:t>
            </w:r>
          </w:p>
        </w:tc>
      </w:tr>
      <w:tr w:rsidR="009B7A31" w:rsidRPr="00912E9B" w14:paraId="5EDD9420" w14:textId="77777777" w:rsidTr="00D40051">
        <w:trPr>
          <w:cantSplit/>
        </w:trPr>
        <w:tc>
          <w:tcPr>
            <w:tcW w:w="2298" w:type="dxa"/>
            <w:shd w:val="clear" w:color="auto" w:fill="auto"/>
            <w:vAlign w:val="center"/>
          </w:tcPr>
          <w:p w14:paraId="4F71E057" w14:textId="73701FA4" w:rsidR="006A32E6" w:rsidRPr="00912E9B" w:rsidRDefault="006A32E6" w:rsidP="006A32E6">
            <w:pPr>
              <w:pStyle w:val="CERGlossaryTerm"/>
              <w:rPr>
                <w:rFonts w:asciiTheme="majorHAnsi" w:hAnsiTheme="majorHAnsi" w:cstheme="majorHAnsi"/>
                <w:sz w:val="22"/>
                <w:szCs w:val="22"/>
              </w:rPr>
            </w:pPr>
            <w:r w:rsidRPr="00912E9B">
              <w:rPr>
                <w:rFonts w:asciiTheme="minorHAnsi" w:hAnsiTheme="minorHAnsi" w:cstheme="minorHAnsi"/>
                <w:sz w:val="22"/>
                <w:szCs w:val="22"/>
              </w:rPr>
              <w:t>Paradoxically Accepted Block Order</w:t>
            </w:r>
          </w:p>
        </w:tc>
        <w:tc>
          <w:tcPr>
            <w:tcW w:w="7088" w:type="dxa"/>
            <w:shd w:val="clear" w:color="auto" w:fill="auto"/>
            <w:vAlign w:val="center"/>
          </w:tcPr>
          <w:p w14:paraId="5EB84936" w14:textId="2F7ACC97" w:rsidR="006A32E6" w:rsidRPr="00912E9B" w:rsidRDefault="006A32E6"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A Block Order, which has been accepted in the clearance of the Day-Ahead Market, while being outside the financial equality (out-of-money).</w:t>
            </w:r>
          </w:p>
        </w:tc>
      </w:tr>
      <w:tr w:rsidR="009B7A31" w:rsidRPr="00912E9B" w14:paraId="45D49A0B" w14:textId="77777777" w:rsidTr="00D40051">
        <w:trPr>
          <w:cantSplit/>
        </w:trPr>
        <w:tc>
          <w:tcPr>
            <w:tcW w:w="2298" w:type="dxa"/>
            <w:shd w:val="clear" w:color="auto" w:fill="auto"/>
            <w:vAlign w:val="center"/>
          </w:tcPr>
          <w:p w14:paraId="71253E0F" w14:textId="2FB2E2D1"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Parent block</w:t>
            </w:r>
          </w:p>
        </w:tc>
        <w:tc>
          <w:tcPr>
            <w:tcW w:w="7088" w:type="dxa"/>
            <w:shd w:val="clear" w:color="auto" w:fill="auto"/>
            <w:vAlign w:val="center"/>
          </w:tcPr>
          <w:p w14:paraId="3CCAA97B" w14:textId="6B3F5965" w:rsidR="006A32E6" w:rsidRPr="00912E9B" w:rsidRDefault="006A32E6"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block which conditions the acceptance of other blocks</w:t>
            </w:r>
          </w:p>
        </w:tc>
      </w:tr>
      <w:tr w:rsidR="009B7A31" w:rsidRPr="00912E9B" w14:paraId="56D1CDD2" w14:textId="77777777" w:rsidTr="00D40051">
        <w:trPr>
          <w:cantSplit/>
        </w:trPr>
        <w:tc>
          <w:tcPr>
            <w:tcW w:w="2298" w:type="dxa"/>
            <w:shd w:val="clear" w:color="auto" w:fill="auto"/>
            <w:vAlign w:val="center"/>
          </w:tcPr>
          <w:p w14:paraId="655ED479" w14:textId="0C2C7CA2"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lang w:val="en-US"/>
              </w:rPr>
              <w:lastRenderedPageBreak/>
              <w:t>Participation Data</w:t>
            </w:r>
          </w:p>
        </w:tc>
        <w:tc>
          <w:tcPr>
            <w:tcW w:w="7088" w:type="dxa"/>
            <w:shd w:val="clear" w:color="auto" w:fill="auto"/>
            <w:vAlign w:val="center"/>
          </w:tcPr>
          <w:p w14:paraId="219F6FC4" w14:textId="35250832" w:rsidR="006A32E6" w:rsidRPr="00912E9B" w:rsidRDefault="006A32E6" w:rsidP="00D40051">
            <w:pPr>
              <w:pStyle w:val="CERLEVEL4"/>
              <w:keepNext w:val="0"/>
              <w:numPr>
                <w:ilvl w:val="0"/>
                <w:numId w:val="0"/>
              </w:numPr>
              <w:ind w:left="1116" w:hanging="1135"/>
              <w:jc w:val="left"/>
              <w:rPr>
                <w:rFonts w:asciiTheme="majorHAnsi" w:hAnsiTheme="majorHAnsi" w:cstheme="majorHAnsi"/>
              </w:rPr>
            </w:pPr>
            <w:r w:rsidRPr="00912E9B">
              <w:rPr>
                <w:rFonts w:asciiTheme="majorHAnsi" w:hAnsiTheme="majorHAnsi" w:cstheme="majorHAnsi"/>
              </w:rPr>
              <w:t xml:space="preserve">means </w:t>
            </w:r>
            <w:r w:rsidRPr="00912E9B">
              <w:rPr>
                <w:rFonts w:asciiTheme="majorHAnsi" w:hAnsiTheme="majorHAnsi" w:cstheme="majorHAnsi"/>
                <w:lang w:val="en-US"/>
              </w:rPr>
              <w:t>the following data categories:</w:t>
            </w:r>
          </w:p>
          <w:p w14:paraId="1574BE3C" w14:textId="77777777" w:rsidR="00783FBB" w:rsidRPr="00912E9B" w:rsidRDefault="006A32E6" w:rsidP="00D40051">
            <w:pPr>
              <w:pStyle w:val="NA-LEVEL1"/>
              <w:tabs>
                <w:tab w:val="clear" w:pos="709"/>
                <w:tab w:val="num" w:pos="391"/>
              </w:tabs>
              <w:spacing w:after="0"/>
              <w:ind w:left="391" w:hanging="391"/>
              <w:jc w:val="left"/>
            </w:pPr>
            <w:r w:rsidRPr="00912E9B">
              <w:rPr>
                <w:rFonts w:asciiTheme="majorHAnsi" w:hAnsiTheme="majorHAnsi" w:cstheme="majorHAnsi"/>
                <w:sz w:val="22"/>
                <w:szCs w:val="22"/>
              </w:rPr>
              <w:t xml:space="preserve">required information to acquire and maintain the Exchange Members </w:t>
            </w:r>
            <w:proofErr w:type="gramStart"/>
            <w:r w:rsidRPr="00912E9B">
              <w:rPr>
                <w:rFonts w:asciiTheme="majorHAnsi" w:hAnsiTheme="majorHAnsi" w:cstheme="majorHAnsi"/>
                <w:sz w:val="22"/>
                <w:szCs w:val="22"/>
              </w:rPr>
              <w:t>capacity;</w:t>
            </w:r>
            <w:proofErr w:type="gramEnd"/>
          </w:p>
          <w:p w14:paraId="020A0E43" w14:textId="398098DA" w:rsidR="006A32E6" w:rsidRPr="00912E9B" w:rsidRDefault="006A32E6" w:rsidP="00D40051">
            <w:pPr>
              <w:pStyle w:val="NA-LEVEL1"/>
              <w:tabs>
                <w:tab w:val="clear" w:pos="709"/>
                <w:tab w:val="num" w:pos="391"/>
              </w:tabs>
              <w:spacing w:after="0"/>
              <w:ind w:left="391" w:hanging="391"/>
              <w:jc w:val="left"/>
            </w:pPr>
            <w:r w:rsidRPr="00912E9B">
              <w:rPr>
                <w:rFonts w:asciiTheme="majorHAnsi" w:hAnsiTheme="majorHAnsi" w:cstheme="majorHAnsi"/>
                <w:sz w:val="22"/>
                <w:szCs w:val="22"/>
              </w:rPr>
              <w:t>authorized users' passwords for access to the ETSS;</w:t>
            </w:r>
          </w:p>
        </w:tc>
      </w:tr>
      <w:tr w:rsidR="006A32E6" w:rsidRPr="00912E9B" w14:paraId="74ADD654" w14:textId="77777777" w:rsidTr="00D40051">
        <w:trPr>
          <w:cantSplit/>
        </w:trPr>
        <w:tc>
          <w:tcPr>
            <w:tcW w:w="2298" w:type="dxa"/>
            <w:shd w:val="clear" w:color="auto" w:fill="auto"/>
            <w:vAlign w:val="center"/>
          </w:tcPr>
          <w:p w14:paraId="7323B10D" w14:textId="440FFDB8" w:rsidR="006A32E6" w:rsidRPr="00912E9B" w:rsidRDefault="006A32E6" w:rsidP="006A32E6">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rPr>
              <w:t>Party</w:t>
            </w:r>
          </w:p>
        </w:tc>
        <w:tc>
          <w:tcPr>
            <w:tcW w:w="7088" w:type="dxa"/>
            <w:shd w:val="clear" w:color="auto" w:fill="auto"/>
            <w:vAlign w:val="center"/>
          </w:tcPr>
          <w:p w14:paraId="3B4C2ED8" w14:textId="020C61B4" w:rsidR="006A32E6" w:rsidRPr="00912E9B" w:rsidRDefault="006A32E6" w:rsidP="00BA4D0D">
            <w:pPr>
              <w:pStyle w:val="CERLEVEL4"/>
              <w:keepNext w:val="0"/>
              <w:numPr>
                <w:ilvl w:val="0"/>
                <w:numId w:val="0"/>
              </w:numPr>
              <w:ind w:left="28" w:hanging="47"/>
              <w:jc w:val="left"/>
              <w:rPr>
                <w:rFonts w:asciiTheme="majorHAnsi" w:hAnsiTheme="majorHAnsi" w:cstheme="majorHAnsi"/>
              </w:rPr>
            </w:pPr>
            <w:r w:rsidRPr="00912E9B">
              <w:rPr>
                <w:rFonts w:asciiTheme="majorHAnsi" w:hAnsiTheme="majorHAnsi" w:cstheme="majorHAnsi"/>
              </w:rPr>
              <w:t>means ALPEX, Exchange Member or Clearing Member</w:t>
            </w:r>
            <w:r w:rsidR="00217250" w:rsidRPr="00912E9B">
              <w:rPr>
                <w:rFonts w:asciiTheme="majorHAnsi" w:hAnsiTheme="majorHAnsi" w:cstheme="majorHAnsi"/>
              </w:rPr>
              <w:t xml:space="preserve"> or any person</w:t>
            </w:r>
            <w:r w:rsidR="00BA4D0D" w:rsidRPr="00912E9B">
              <w:rPr>
                <w:rFonts w:asciiTheme="majorHAnsi" w:hAnsiTheme="majorHAnsi" w:cstheme="majorHAnsi"/>
              </w:rPr>
              <w:t xml:space="preserve"> or entities affected directly or indirectly by ALPEX Rules and the Procedures</w:t>
            </w:r>
          </w:p>
        </w:tc>
      </w:tr>
      <w:tr w:rsidR="009B7A31" w:rsidRPr="00912E9B" w14:paraId="1F8AB72C" w14:textId="77777777" w:rsidTr="00D40051">
        <w:trPr>
          <w:cantSplit/>
        </w:trPr>
        <w:tc>
          <w:tcPr>
            <w:tcW w:w="2298" w:type="dxa"/>
            <w:shd w:val="clear" w:color="auto" w:fill="auto"/>
            <w:vAlign w:val="center"/>
          </w:tcPr>
          <w:p w14:paraId="696C49B6" w14:textId="6263153E" w:rsidR="006A32E6" w:rsidRPr="00912E9B" w:rsidRDefault="006A32E6" w:rsidP="006A32E6">
            <w:pPr>
              <w:pStyle w:val="CERGlossaryTerm"/>
              <w:jc w:val="both"/>
              <w:rPr>
                <w:rFonts w:asciiTheme="majorHAnsi" w:hAnsiTheme="majorHAnsi" w:cstheme="majorHAnsi"/>
                <w:sz w:val="22"/>
                <w:szCs w:val="22"/>
                <w:lang w:val="en-US"/>
              </w:rPr>
            </w:pPr>
            <w:r w:rsidRPr="00912E9B">
              <w:rPr>
                <w:rFonts w:asciiTheme="minorHAnsi" w:hAnsiTheme="minorHAnsi" w:cstheme="minorHAnsi"/>
                <w:sz w:val="22"/>
                <w:szCs w:val="22"/>
              </w:rPr>
              <w:t>Payment Due Date</w:t>
            </w:r>
          </w:p>
        </w:tc>
        <w:tc>
          <w:tcPr>
            <w:tcW w:w="7088" w:type="dxa"/>
            <w:shd w:val="clear" w:color="auto" w:fill="auto"/>
            <w:vAlign w:val="center"/>
          </w:tcPr>
          <w:p w14:paraId="7A54BAAF" w14:textId="73CFC9FA" w:rsidR="006A32E6" w:rsidRPr="00912E9B" w:rsidRDefault="006A32E6" w:rsidP="00D40051">
            <w:pPr>
              <w:pStyle w:val="CERLEVEL4"/>
              <w:keepNext w:val="0"/>
              <w:numPr>
                <w:ilvl w:val="0"/>
                <w:numId w:val="0"/>
              </w:numPr>
              <w:ind w:hanging="19"/>
              <w:jc w:val="left"/>
              <w:rPr>
                <w:rFonts w:asciiTheme="majorHAnsi" w:hAnsiTheme="majorHAnsi" w:cstheme="majorHAnsi"/>
              </w:rPr>
            </w:pPr>
            <w:r w:rsidRPr="00912E9B">
              <w:rPr>
                <w:rFonts w:asciiTheme="minorHAnsi" w:hAnsiTheme="minorHAnsi" w:cstheme="minorHAnsi"/>
              </w:rPr>
              <w:t>m</w:t>
            </w:r>
            <w:r w:rsidRPr="00912E9B">
              <w:rPr>
                <w:rFonts w:asciiTheme="majorHAnsi" w:hAnsiTheme="majorHAnsi" w:cstheme="majorHAnsi"/>
              </w:rPr>
              <w:t>eans the date and time before which any amount due for payment under the Clearing and Settlement Procedures must, pursuant to its terms, be paid.</w:t>
            </w:r>
          </w:p>
        </w:tc>
      </w:tr>
      <w:tr w:rsidR="009B7A31" w:rsidRPr="00912E9B" w14:paraId="71DE2A24" w14:textId="77777777" w:rsidTr="00D40051">
        <w:trPr>
          <w:cantSplit/>
        </w:trPr>
        <w:tc>
          <w:tcPr>
            <w:tcW w:w="2298" w:type="dxa"/>
            <w:shd w:val="clear" w:color="auto" w:fill="auto"/>
            <w:vAlign w:val="center"/>
          </w:tcPr>
          <w:p w14:paraId="7F25AE1B" w14:textId="04D83054" w:rsidR="006A32E6" w:rsidRPr="00912E9B" w:rsidRDefault="006A32E6" w:rsidP="006A32E6">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rPr>
              <w:t>Personal Data</w:t>
            </w:r>
          </w:p>
        </w:tc>
        <w:tc>
          <w:tcPr>
            <w:tcW w:w="7088" w:type="dxa"/>
            <w:shd w:val="clear" w:color="auto" w:fill="auto"/>
            <w:vAlign w:val="center"/>
          </w:tcPr>
          <w:p w14:paraId="63954DFF" w14:textId="469AF4D0" w:rsidR="006A32E6" w:rsidRPr="00912E9B" w:rsidRDefault="006A32E6" w:rsidP="00D40051">
            <w:pPr>
              <w:pStyle w:val="CERLEVEL4"/>
              <w:keepNext w:val="0"/>
              <w:numPr>
                <w:ilvl w:val="0"/>
                <w:numId w:val="0"/>
              </w:numPr>
              <w:jc w:val="left"/>
              <w:rPr>
                <w:rFonts w:asciiTheme="majorHAnsi" w:hAnsiTheme="majorHAnsi" w:cstheme="majorHAnsi"/>
              </w:rPr>
            </w:pPr>
            <w:r w:rsidRPr="00912E9B">
              <w:rPr>
                <w:rFonts w:asciiTheme="majorHAnsi" w:hAnsiTheme="majorHAnsi" w:cstheme="majorHAnsi"/>
              </w:rPr>
              <w:t xml:space="preserve">has the meaning set out in Albania Law </w:t>
            </w:r>
            <w:r w:rsidRPr="00912E9B">
              <w:t>No. 9887 dated 10.03.2008 As amended by the Law No. 48/2012, date 26.04.2012 and in Kosovo Law No. 06/L-082 “On Protection of Personal Data”</w:t>
            </w:r>
            <w:r w:rsidRPr="00912E9B">
              <w:rPr>
                <w:rFonts w:asciiTheme="majorHAnsi" w:hAnsiTheme="majorHAnsi" w:cstheme="majorHAnsi"/>
              </w:rPr>
              <w:t>.</w:t>
            </w:r>
          </w:p>
        </w:tc>
      </w:tr>
      <w:tr w:rsidR="009B7A31" w:rsidRPr="00912E9B" w14:paraId="2C78F7C3" w14:textId="77777777" w:rsidTr="00D40051">
        <w:trPr>
          <w:cantSplit/>
        </w:trPr>
        <w:tc>
          <w:tcPr>
            <w:tcW w:w="2298" w:type="dxa"/>
            <w:shd w:val="clear" w:color="auto" w:fill="auto"/>
            <w:vAlign w:val="center"/>
          </w:tcPr>
          <w:p w14:paraId="1D4E9698" w14:textId="536C56C2"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Physical Transmission Right or PTR</w:t>
            </w:r>
          </w:p>
        </w:tc>
        <w:tc>
          <w:tcPr>
            <w:tcW w:w="7088" w:type="dxa"/>
            <w:shd w:val="clear" w:color="auto" w:fill="auto"/>
            <w:vAlign w:val="center"/>
          </w:tcPr>
          <w:p w14:paraId="6AF3F7DE" w14:textId="75D91C8A" w:rsidR="006A32E6" w:rsidRPr="00912E9B" w:rsidRDefault="006A32E6"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national right granted by the TSO to the ALPEX to arrange for the transfer of energy over an Interconnector for a Market Time Unit with the direction, quantity and price determined by the price Coupling solution</w:t>
            </w:r>
          </w:p>
        </w:tc>
      </w:tr>
      <w:tr w:rsidR="009B7A31" w:rsidRPr="00912E9B" w14:paraId="3A171CEB" w14:textId="77777777" w:rsidTr="00D40051">
        <w:trPr>
          <w:cantSplit/>
        </w:trPr>
        <w:tc>
          <w:tcPr>
            <w:tcW w:w="2298" w:type="dxa"/>
            <w:shd w:val="clear" w:color="auto" w:fill="auto"/>
            <w:vAlign w:val="center"/>
          </w:tcPr>
          <w:p w14:paraId="20A4C46B" w14:textId="4AA4A1EE" w:rsidR="006A32E6" w:rsidRPr="00912E9B" w:rsidRDefault="006A32E6" w:rsidP="006A32E6">
            <w:pPr>
              <w:pStyle w:val="CERGlossaryTerm"/>
              <w:rPr>
                <w:rFonts w:asciiTheme="majorHAnsi" w:hAnsiTheme="majorHAnsi" w:cstheme="majorHAnsi"/>
                <w:sz w:val="22"/>
                <w:szCs w:val="22"/>
              </w:rPr>
            </w:pPr>
            <w:r w:rsidRPr="00912E9B">
              <w:rPr>
                <w:rFonts w:asciiTheme="majorHAnsi" w:hAnsiTheme="majorHAnsi" w:cstheme="majorHAnsi"/>
                <w:sz w:val="22"/>
                <w:szCs w:val="22"/>
              </w:rPr>
              <w:t>Portfolio</w:t>
            </w:r>
          </w:p>
        </w:tc>
        <w:tc>
          <w:tcPr>
            <w:tcW w:w="7088" w:type="dxa"/>
            <w:shd w:val="clear" w:color="auto" w:fill="auto"/>
            <w:vAlign w:val="center"/>
          </w:tcPr>
          <w:p w14:paraId="6C0FED7F" w14:textId="59C34CB6" w:rsidR="006A32E6" w:rsidRPr="00912E9B" w:rsidRDefault="006A32E6" w:rsidP="005A2CEC">
            <w:pPr>
              <w:pStyle w:val="CERGlossaryDefinition"/>
              <w:tabs>
                <w:tab w:val="clear" w:pos="851"/>
                <w:tab w:val="num" w:pos="0"/>
              </w:tabs>
              <w:jc w:val="left"/>
              <w:rPr>
                <w:rFonts w:asciiTheme="majorHAnsi" w:hAnsiTheme="majorHAnsi" w:cstheme="majorHAnsi"/>
                <w:sz w:val="22"/>
                <w:szCs w:val="22"/>
              </w:rPr>
            </w:pPr>
            <w:r w:rsidRPr="00912E9B">
              <w:rPr>
                <w:rFonts w:asciiTheme="majorHAnsi" w:hAnsiTheme="majorHAnsi" w:cstheme="majorHAnsi"/>
                <w:sz w:val="22"/>
                <w:szCs w:val="22"/>
              </w:rPr>
              <w:t xml:space="preserve">means an electronic account kept by ALPEX for each </w:t>
            </w:r>
            <w:r w:rsidR="00913C2B" w:rsidRPr="00912E9B">
              <w:rPr>
                <w:rFonts w:asciiTheme="majorHAnsi" w:hAnsiTheme="majorHAnsi" w:cstheme="majorHAnsi"/>
                <w:sz w:val="22"/>
                <w:szCs w:val="22"/>
              </w:rPr>
              <w:t xml:space="preserve">Exchange </w:t>
            </w:r>
            <w:r w:rsidRPr="00912E9B">
              <w:rPr>
                <w:rFonts w:asciiTheme="majorHAnsi" w:hAnsiTheme="majorHAnsi" w:cstheme="majorHAnsi"/>
                <w:sz w:val="22"/>
                <w:szCs w:val="22"/>
              </w:rPr>
              <w:t>Member to which Buy/Sell Orders may</w:t>
            </w:r>
            <w:r w:rsidR="00A55C4A" w:rsidRPr="00912E9B">
              <w:rPr>
                <w:rFonts w:asciiTheme="majorHAnsi" w:hAnsiTheme="majorHAnsi" w:cstheme="majorHAnsi"/>
                <w:sz w:val="22"/>
                <w:szCs w:val="22"/>
              </w:rPr>
              <w:t xml:space="preserve"> </w:t>
            </w:r>
            <w:r w:rsidRPr="00912E9B">
              <w:rPr>
                <w:rFonts w:asciiTheme="majorHAnsi" w:hAnsiTheme="majorHAnsi" w:cstheme="majorHAnsi"/>
                <w:sz w:val="22"/>
                <w:szCs w:val="22"/>
              </w:rPr>
              <w:t>be assigned.</w:t>
            </w:r>
          </w:p>
        </w:tc>
      </w:tr>
      <w:tr w:rsidR="009B7A31" w:rsidRPr="00912E9B" w14:paraId="5A0F62E8" w14:textId="77777777" w:rsidTr="00D40051">
        <w:trPr>
          <w:cantSplit/>
        </w:trPr>
        <w:tc>
          <w:tcPr>
            <w:tcW w:w="2298" w:type="dxa"/>
            <w:shd w:val="clear" w:color="auto" w:fill="auto"/>
            <w:vAlign w:val="center"/>
          </w:tcPr>
          <w:p w14:paraId="7F18F342" w14:textId="246E2002" w:rsidR="006A32E6" w:rsidRPr="00912E9B" w:rsidRDefault="006A32E6" w:rsidP="006A32E6">
            <w:pPr>
              <w:pStyle w:val="CERGlossaryTerm"/>
              <w:rPr>
                <w:rFonts w:asciiTheme="majorHAnsi" w:hAnsiTheme="majorHAnsi" w:cstheme="majorHAnsi"/>
                <w:sz w:val="22"/>
                <w:szCs w:val="22"/>
              </w:rPr>
            </w:pPr>
            <w:r w:rsidRPr="00912E9B">
              <w:rPr>
                <w:rFonts w:asciiTheme="minorHAnsi" w:hAnsiTheme="minorHAnsi" w:cstheme="minorHAnsi"/>
                <w:sz w:val="22"/>
                <w:szCs w:val="22"/>
              </w:rPr>
              <w:t>Positions</w:t>
            </w:r>
          </w:p>
        </w:tc>
        <w:tc>
          <w:tcPr>
            <w:tcW w:w="7088" w:type="dxa"/>
            <w:shd w:val="clear" w:color="auto" w:fill="auto"/>
            <w:vAlign w:val="center"/>
          </w:tcPr>
          <w:p w14:paraId="7B392362" w14:textId="54CD3003" w:rsidR="006A32E6" w:rsidRPr="00912E9B" w:rsidRDefault="006A32E6"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The cash rights and corresponding obligations which arise from the Clearing of Transactions in ALPEX Markets and have not yet been settled.</w:t>
            </w:r>
          </w:p>
        </w:tc>
      </w:tr>
      <w:tr w:rsidR="007F2C5D" w:rsidRPr="00912E9B" w14:paraId="74AFEFEF" w14:textId="77777777" w:rsidTr="00D40051">
        <w:trPr>
          <w:cantSplit/>
        </w:trPr>
        <w:tc>
          <w:tcPr>
            <w:tcW w:w="2298" w:type="dxa"/>
            <w:shd w:val="clear" w:color="auto" w:fill="auto"/>
            <w:vAlign w:val="center"/>
          </w:tcPr>
          <w:p w14:paraId="6295B1A2" w14:textId="183D3944" w:rsidR="007F2C5D" w:rsidRPr="00912E9B" w:rsidRDefault="007F2C5D" w:rsidP="007F2C5D">
            <w:pPr>
              <w:pStyle w:val="CERGlossaryTerm"/>
              <w:rPr>
                <w:rFonts w:asciiTheme="minorHAnsi" w:hAnsiTheme="minorHAnsi" w:cstheme="minorHAnsi"/>
                <w:sz w:val="22"/>
                <w:szCs w:val="22"/>
              </w:rPr>
            </w:pPr>
            <w:r w:rsidRPr="00912E9B">
              <w:rPr>
                <w:rFonts w:asciiTheme="minorHAnsi" w:hAnsiTheme="minorHAnsi" w:cstheme="minorHAnsi"/>
                <w:sz w:val="22"/>
                <w:szCs w:val="22"/>
              </w:rPr>
              <w:t>Preliminary Market Coupling Results</w:t>
            </w:r>
          </w:p>
        </w:tc>
        <w:tc>
          <w:tcPr>
            <w:tcW w:w="7088" w:type="dxa"/>
            <w:shd w:val="clear" w:color="auto" w:fill="auto"/>
            <w:vAlign w:val="center"/>
          </w:tcPr>
          <w:p w14:paraId="23CC6E4B" w14:textId="7FCAB340" w:rsidR="007F2C5D" w:rsidRPr="00912E9B" w:rsidRDefault="007F2C5D"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The Market Coupling Results, which are sent by the Market Coupling Service Provider to NEMOs for validation purposes.</w:t>
            </w:r>
          </w:p>
        </w:tc>
      </w:tr>
      <w:tr w:rsidR="009B7A31" w:rsidRPr="00912E9B" w14:paraId="2F971B5E" w14:textId="77777777" w:rsidTr="00D40051">
        <w:trPr>
          <w:cantSplit/>
        </w:trPr>
        <w:tc>
          <w:tcPr>
            <w:tcW w:w="2298" w:type="dxa"/>
            <w:shd w:val="clear" w:color="auto" w:fill="auto"/>
            <w:vAlign w:val="center"/>
          </w:tcPr>
          <w:p w14:paraId="7D9E3FD9" w14:textId="7AB49FC9" w:rsidR="007F2C5D" w:rsidRPr="00912E9B" w:rsidRDefault="007F2C5D" w:rsidP="007F2C5D">
            <w:pPr>
              <w:pStyle w:val="CERGlossaryTerm"/>
              <w:rPr>
                <w:rFonts w:asciiTheme="majorHAnsi" w:hAnsiTheme="majorHAnsi" w:cstheme="majorHAnsi"/>
                <w:sz w:val="22"/>
                <w:szCs w:val="22"/>
              </w:rPr>
            </w:pPr>
            <w:r w:rsidRPr="00912E9B">
              <w:rPr>
                <w:rFonts w:asciiTheme="minorHAnsi" w:hAnsiTheme="minorHAnsi" w:cstheme="minorHAnsi"/>
                <w:sz w:val="22"/>
                <w:szCs w:val="22"/>
              </w:rPr>
              <w:t>Price Coupling Algorithm</w:t>
            </w:r>
          </w:p>
        </w:tc>
        <w:tc>
          <w:tcPr>
            <w:tcW w:w="7088" w:type="dxa"/>
            <w:shd w:val="clear" w:color="auto" w:fill="auto"/>
            <w:vAlign w:val="center"/>
          </w:tcPr>
          <w:p w14:paraId="3B0450A8" w14:textId="016BDEBE" w:rsidR="007F2C5D" w:rsidRPr="00912E9B" w:rsidRDefault="007F2C5D"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The algorithm used in single Day-Ahead Coupling for simultaneously matching Orders and allocating Cross</w:t>
            </w:r>
            <w:r w:rsidR="00C94A05" w:rsidRPr="00912E9B">
              <w:rPr>
                <w:rFonts w:asciiTheme="majorHAnsi" w:hAnsiTheme="majorHAnsi" w:cstheme="majorHAnsi"/>
                <w:sz w:val="22"/>
                <w:szCs w:val="22"/>
              </w:rPr>
              <w:t xml:space="preserve"> </w:t>
            </w:r>
            <w:r w:rsidRPr="00912E9B">
              <w:rPr>
                <w:rFonts w:asciiTheme="majorHAnsi" w:hAnsiTheme="majorHAnsi" w:cstheme="majorHAnsi"/>
                <w:sz w:val="22"/>
                <w:szCs w:val="22"/>
              </w:rPr>
              <w:t>Zonal Capacities. The Price Coupling Algorithm is used for the coupled and non-coupled mode of the Day-Ahead and Intraday Market Auctions.</w:t>
            </w:r>
          </w:p>
        </w:tc>
      </w:tr>
      <w:tr w:rsidR="009B7A31" w:rsidRPr="00912E9B" w14:paraId="783143CC" w14:textId="77777777" w:rsidTr="00D40051">
        <w:trPr>
          <w:cantSplit/>
        </w:trPr>
        <w:tc>
          <w:tcPr>
            <w:tcW w:w="2298" w:type="dxa"/>
            <w:shd w:val="clear" w:color="auto" w:fill="auto"/>
            <w:vAlign w:val="center"/>
          </w:tcPr>
          <w:p w14:paraId="3822B2A2" w14:textId="4AFE9556" w:rsidR="007F2C5D" w:rsidRPr="00912E9B" w:rsidRDefault="007F2C5D" w:rsidP="007F2C5D">
            <w:pPr>
              <w:pStyle w:val="CERGlossaryTerm"/>
              <w:rPr>
                <w:rFonts w:asciiTheme="majorHAnsi" w:hAnsiTheme="majorHAnsi" w:cstheme="majorHAnsi"/>
                <w:sz w:val="22"/>
                <w:szCs w:val="22"/>
              </w:rPr>
            </w:pPr>
            <w:r w:rsidRPr="00912E9B">
              <w:rPr>
                <w:rFonts w:asciiTheme="majorHAnsi" w:hAnsiTheme="majorHAnsi" w:cstheme="majorHAnsi"/>
                <w:sz w:val="22"/>
                <w:szCs w:val="22"/>
              </w:rPr>
              <w:t>Price Coupling of Regions (PCR)</w:t>
            </w:r>
          </w:p>
        </w:tc>
        <w:tc>
          <w:tcPr>
            <w:tcW w:w="7088" w:type="dxa"/>
            <w:shd w:val="clear" w:color="auto" w:fill="auto"/>
            <w:vAlign w:val="center"/>
          </w:tcPr>
          <w:p w14:paraId="262BC4FF" w14:textId="44285E47" w:rsidR="007F2C5D" w:rsidRPr="00912E9B" w:rsidRDefault="007F2C5D"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the initiative of nine European power exchanges to develop a single price coupling solution to be used to calculate electricity prices across Europe and allocate </w:t>
            </w:r>
            <w:r w:rsidR="00C1156A" w:rsidRPr="00912E9B">
              <w:rPr>
                <w:rFonts w:asciiTheme="majorHAnsi" w:hAnsiTheme="majorHAnsi" w:cstheme="majorHAnsi"/>
                <w:sz w:val="22"/>
                <w:szCs w:val="22"/>
              </w:rPr>
              <w:t>C</w:t>
            </w:r>
            <w:r w:rsidRPr="00912E9B">
              <w:rPr>
                <w:rFonts w:asciiTheme="majorHAnsi" w:hAnsiTheme="majorHAnsi" w:cstheme="majorHAnsi"/>
                <w:sz w:val="22"/>
                <w:szCs w:val="22"/>
              </w:rPr>
              <w:t xml:space="preserve">ross </w:t>
            </w:r>
            <w:r w:rsidR="00C1156A" w:rsidRPr="00912E9B">
              <w:rPr>
                <w:rFonts w:asciiTheme="majorHAnsi" w:hAnsiTheme="majorHAnsi" w:cstheme="majorHAnsi"/>
                <w:sz w:val="22"/>
                <w:szCs w:val="22"/>
              </w:rPr>
              <w:t>B</w:t>
            </w:r>
            <w:r w:rsidRPr="00912E9B">
              <w:rPr>
                <w:rFonts w:asciiTheme="majorHAnsi" w:hAnsiTheme="majorHAnsi" w:cstheme="majorHAnsi"/>
                <w:sz w:val="22"/>
                <w:szCs w:val="22"/>
              </w:rPr>
              <w:t xml:space="preserve">order </w:t>
            </w:r>
            <w:r w:rsidR="00C1156A" w:rsidRPr="00912E9B">
              <w:rPr>
                <w:rFonts w:asciiTheme="majorHAnsi" w:hAnsiTheme="majorHAnsi" w:cstheme="majorHAnsi"/>
                <w:sz w:val="22"/>
                <w:szCs w:val="22"/>
              </w:rPr>
              <w:t>C</w:t>
            </w:r>
            <w:r w:rsidRPr="00912E9B">
              <w:rPr>
                <w:rFonts w:asciiTheme="majorHAnsi" w:hAnsiTheme="majorHAnsi" w:cstheme="majorHAnsi"/>
                <w:sz w:val="22"/>
                <w:szCs w:val="22"/>
              </w:rPr>
              <w:t>apacity.</w:t>
            </w:r>
          </w:p>
        </w:tc>
      </w:tr>
      <w:tr w:rsidR="00912E9B" w:rsidRPr="00912E9B" w14:paraId="42F4E048" w14:textId="77777777" w:rsidTr="00D40051">
        <w:trPr>
          <w:cantSplit/>
        </w:trPr>
        <w:tc>
          <w:tcPr>
            <w:tcW w:w="2298" w:type="dxa"/>
            <w:shd w:val="clear" w:color="auto" w:fill="auto"/>
            <w:vAlign w:val="center"/>
          </w:tcPr>
          <w:p w14:paraId="37745373" w14:textId="0206501A" w:rsidR="007F2C5D" w:rsidRPr="00912E9B" w:rsidRDefault="007F2C5D" w:rsidP="007F2C5D">
            <w:pPr>
              <w:pStyle w:val="CERGlossaryTerm"/>
              <w:rPr>
                <w:rFonts w:asciiTheme="majorHAnsi" w:hAnsiTheme="majorHAnsi" w:cstheme="majorHAnsi"/>
                <w:sz w:val="22"/>
                <w:szCs w:val="22"/>
              </w:rPr>
            </w:pPr>
            <w:r w:rsidRPr="00912E9B">
              <w:rPr>
                <w:rFonts w:asciiTheme="majorHAnsi" w:hAnsiTheme="majorHAnsi" w:cstheme="majorHAnsi"/>
                <w:sz w:val="22"/>
                <w:szCs w:val="22"/>
              </w:rPr>
              <w:t>Price Maker</w:t>
            </w:r>
          </w:p>
        </w:tc>
        <w:tc>
          <w:tcPr>
            <w:tcW w:w="7088" w:type="dxa"/>
            <w:shd w:val="clear" w:color="auto" w:fill="auto"/>
            <w:vAlign w:val="center"/>
          </w:tcPr>
          <w:p w14:paraId="04B23055" w14:textId="7A8A5E3B" w:rsidR="007F2C5D" w:rsidRPr="00912E9B" w:rsidRDefault="007F2C5D"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is an Exchange Member which </w:t>
            </w:r>
            <w:proofErr w:type="gramStart"/>
            <w:r w:rsidRPr="00912E9B">
              <w:rPr>
                <w:rFonts w:asciiTheme="majorHAnsi" w:hAnsiTheme="majorHAnsi" w:cstheme="majorHAnsi"/>
                <w:sz w:val="22"/>
                <w:szCs w:val="22"/>
              </w:rPr>
              <w:t>is able to</w:t>
            </w:r>
            <w:proofErr w:type="gramEnd"/>
            <w:r w:rsidRPr="00912E9B">
              <w:rPr>
                <w:rFonts w:asciiTheme="majorHAnsi" w:hAnsiTheme="majorHAnsi" w:cstheme="majorHAnsi"/>
                <w:sz w:val="22"/>
                <w:szCs w:val="22"/>
              </w:rPr>
              <w:t xml:space="preserve"> influence the Market Clearing Price and accept</w:t>
            </w:r>
            <w:r w:rsidR="003A2D83" w:rsidRPr="00912E9B">
              <w:rPr>
                <w:rFonts w:asciiTheme="majorHAnsi" w:hAnsiTheme="majorHAnsi" w:cstheme="majorHAnsi"/>
                <w:sz w:val="22"/>
                <w:szCs w:val="22"/>
              </w:rPr>
              <w:t xml:space="preserve"> it</w:t>
            </w:r>
            <w:r w:rsidRPr="00912E9B">
              <w:rPr>
                <w:rFonts w:asciiTheme="majorHAnsi" w:hAnsiTheme="majorHAnsi" w:cstheme="majorHAnsi"/>
                <w:sz w:val="22"/>
                <w:szCs w:val="22"/>
              </w:rPr>
              <w:t xml:space="preserve"> for settlement of its Transition. </w:t>
            </w:r>
          </w:p>
        </w:tc>
      </w:tr>
      <w:tr w:rsidR="00912E9B" w:rsidRPr="00912E9B" w14:paraId="0547D4EC" w14:textId="77777777" w:rsidTr="00D40051">
        <w:trPr>
          <w:cantSplit/>
        </w:trPr>
        <w:tc>
          <w:tcPr>
            <w:tcW w:w="2298" w:type="dxa"/>
            <w:shd w:val="clear" w:color="auto" w:fill="auto"/>
            <w:vAlign w:val="center"/>
          </w:tcPr>
          <w:p w14:paraId="432838DE" w14:textId="77777777" w:rsidR="007F2C5D" w:rsidRPr="00912E9B" w:rsidRDefault="007F2C5D" w:rsidP="007F2C5D">
            <w:pPr>
              <w:pStyle w:val="CERGlossaryTerm"/>
              <w:rPr>
                <w:rFonts w:asciiTheme="minorHAnsi" w:hAnsiTheme="minorHAnsi" w:cstheme="minorHAnsi"/>
                <w:sz w:val="22"/>
                <w:szCs w:val="22"/>
              </w:rPr>
            </w:pPr>
            <w:r w:rsidRPr="00912E9B">
              <w:rPr>
                <w:rFonts w:asciiTheme="minorHAnsi" w:hAnsiTheme="minorHAnsi" w:cstheme="minorHAnsi"/>
                <w:sz w:val="22"/>
                <w:szCs w:val="22"/>
              </w:rPr>
              <w:t xml:space="preserve">Price Quantity Pair </w:t>
            </w:r>
          </w:p>
          <w:p w14:paraId="791A70F1" w14:textId="77777777" w:rsidR="007F2C5D" w:rsidRPr="00912E9B" w:rsidRDefault="007F2C5D" w:rsidP="007F2C5D">
            <w:pPr>
              <w:pStyle w:val="CERGlossaryTerm"/>
              <w:rPr>
                <w:rFonts w:asciiTheme="minorHAnsi" w:hAnsiTheme="minorHAnsi" w:cstheme="minorHAnsi"/>
                <w:sz w:val="22"/>
                <w:szCs w:val="22"/>
              </w:rPr>
            </w:pPr>
            <w:r w:rsidRPr="00912E9B">
              <w:rPr>
                <w:rFonts w:asciiTheme="minorHAnsi" w:hAnsiTheme="minorHAnsi" w:cstheme="minorHAnsi"/>
                <w:sz w:val="22"/>
                <w:szCs w:val="22"/>
              </w:rPr>
              <w:t xml:space="preserve">or </w:t>
            </w:r>
          </w:p>
          <w:p w14:paraId="2347A185" w14:textId="066BB4A8" w:rsidR="007F2C5D" w:rsidRPr="00912E9B" w:rsidRDefault="007F2C5D" w:rsidP="007F2C5D">
            <w:pPr>
              <w:pStyle w:val="CERGlossaryTerm"/>
              <w:rPr>
                <w:rFonts w:asciiTheme="majorHAnsi" w:hAnsiTheme="majorHAnsi" w:cstheme="majorHAnsi"/>
                <w:sz w:val="22"/>
                <w:szCs w:val="22"/>
              </w:rPr>
            </w:pPr>
            <w:r w:rsidRPr="00912E9B">
              <w:rPr>
                <w:rFonts w:asciiTheme="minorHAnsi" w:hAnsiTheme="minorHAnsi" w:cstheme="minorHAnsi"/>
                <w:sz w:val="22"/>
                <w:szCs w:val="22"/>
              </w:rPr>
              <w:t>PQ pair</w:t>
            </w:r>
          </w:p>
        </w:tc>
        <w:tc>
          <w:tcPr>
            <w:tcW w:w="7088" w:type="dxa"/>
            <w:shd w:val="clear" w:color="auto" w:fill="auto"/>
            <w:vAlign w:val="center"/>
          </w:tcPr>
          <w:p w14:paraId="6CFE421B" w14:textId="77777777" w:rsidR="007F2C5D" w:rsidRPr="00912E9B" w:rsidRDefault="007F2C5D"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a price quantity pair included in an Order, and:</w:t>
            </w:r>
          </w:p>
          <w:p w14:paraId="713B0509" w14:textId="32AB1269" w:rsidR="007F2C5D" w:rsidRPr="00912E9B" w:rsidRDefault="007F2C5D" w:rsidP="00D40051">
            <w:pPr>
              <w:pStyle w:val="CERGlossaryDefinition"/>
              <w:numPr>
                <w:ilvl w:val="0"/>
                <w:numId w:val="52"/>
              </w:numPr>
              <w:jc w:val="left"/>
              <w:rPr>
                <w:rFonts w:asciiTheme="minorHAnsi" w:hAnsiTheme="minorHAnsi" w:cstheme="minorHAnsi"/>
                <w:sz w:val="22"/>
                <w:szCs w:val="22"/>
              </w:rPr>
            </w:pPr>
            <w:r w:rsidRPr="00912E9B">
              <w:rPr>
                <w:rFonts w:asciiTheme="minorHAnsi" w:hAnsiTheme="minorHAnsi" w:cstheme="minorHAnsi"/>
                <w:sz w:val="22"/>
                <w:szCs w:val="22"/>
              </w:rPr>
              <w:t xml:space="preserve">in relation to a Day-Ahead Auction, is described in paragraph B.1.5.5. of the Trading </w:t>
            </w:r>
            <w:proofErr w:type="gramStart"/>
            <w:r w:rsidRPr="00912E9B">
              <w:rPr>
                <w:rFonts w:asciiTheme="minorHAnsi" w:hAnsiTheme="minorHAnsi" w:cstheme="minorHAnsi"/>
                <w:sz w:val="22"/>
                <w:szCs w:val="22"/>
              </w:rPr>
              <w:t>Procedures;</w:t>
            </w:r>
            <w:proofErr w:type="gramEnd"/>
            <w:r w:rsidRPr="00912E9B">
              <w:rPr>
                <w:rFonts w:asciiTheme="minorHAnsi" w:hAnsiTheme="minorHAnsi" w:cstheme="minorHAnsi"/>
                <w:sz w:val="22"/>
                <w:szCs w:val="22"/>
              </w:rPr>
              <w:t xml:space="preserve"> </w:t>
            </w:r>
          </w:p>
          <w:p w14:paraId="003D1499" w14:textId="7BB49F65" w:rsidR="007F2C5D" w:rsidRPr="00912E9B" w:rsidRDefault="007F2C5D" w:rsidP="00D40051">
            <w:pPr>
              <w:pStyle w:val="CERGlossaryDefinition"/>
              <w:numPr>
                <w:ilvl w:val="0"/>
                <w:numId w:val="52"/>
              </w:numPr>
              <w:jc w:val="left"/>
              <w:rPr>
                <w:rFonts w:asciiTheme="minorHAnsi" w:hAnsiTheme="minorHAnsi" w:cstheme="minorHAnsi"/>
                <w:sz w:val="22"/>
                <w:szCs w:val="22"/>
              </w:rPr>
            </w:pPr>
            <w:r w:rsidRPr="00912E9B">
              <w:rPr>
                <w:rFonts w:asciiTheme="minorHAnsi" w:hAnsiTheme="minorHAnsi" w:cstheme="minorHAnsi"/>
                <w:sz w:val="22"/>
                <w:szCs w:val="22"/>
              </w:rPr>
              <w:t xml:space="preserve">in relation to an Intraday Auction, is described in paragraph C.1.5.5 of the Trading Procedures; and </w:t>
            </w:r>
          </w:p>
          <w:p w14:paraId="0E0C3487" w14:textId="13F265C6" w:rsidR="007F2C5D" w:rsidRPr="00912E9B" w:rsidRDefault="007F2C5D" w:rsidP="003154C2">
            <w:pPr>
              <w:pStyle w:val="CERGlossaryDefinition"/>
              <w:numPr>
                <w:ilvl w:val="0"/>
                <w:numId w:val="52"/>
              </w:numPr>
              <w:jc w:val="left"/>
              <w:rPr>
                <w:rFonts w:asciiTheme="majorHAnsi" w:hAnsiTheme="majorHAnsi" w:cstheme="majorHAnsi"/>
                <w:sz w:val="22"/>
                <w:szCs w:val="22"/>
              </w:rPr>
            </w:pPr>
            <w:r w:rsidRPr="00912E9B">
              <w:rPr>
                <w:rFonts w:asciiTheme="minorHAnsi" w:hAnsiTheme="minorHAnsi" w:cstheme="minorHAnsi"/>
                <w:sz w:val="22"/>
                <w:szCs w:val="22"/>
              </w:rPr>
              <w:t>in relation to the Continuous Intraday Trading, is described in paragraphs D.1.2.4 of the Trading Procedures.</w:t>
            </w:r>
          </w:p>
        </w:tc>
      </w:tr>
      <w:tr w:rsidR="00912E9B" w:rsidRPr="00912E9B" w14:paraId="7417EABB" w14:textId="77777777" w:rsidTr="00D40051">
        <w:trPr>
          <w:cantSplit/>
        </w:trPr>
        <w:tc>
          <w:tcPr>
            <w:tcW w:w="2298" w:type="dxa"/>
            <w:shd w:val="clear" w:color="auto" w:fill="auto"/>
            <w:vAlign w:val="center"/>
          </w:tcPr>
          <w:p w14:paraId="07361875" w14:textId="00EDF8B4" w:rsidR="007F2C5D" w:rsidRPr="00912E9B" w:rsidRDefault="007F2C5D" w:rsidP="007F2C5D">
            <w:pPr>
              <w:pStyle w:val="CERGlossaryTerm"/>
              <w:rPr>
                <w:rFonts w:asciiTheme="minorHAnsi" w:hAnsiTheme="minorHAnsi" w:cstheme="minorHAnsi"/>
                <w:sz w:val="22"/>
                <w:szCs w:val="22"/>
              </w:rPr>
            </w:pPr>
            <w:r w:rsidRPr="00912E9B">
              <w:rPr>
                <w:rFonts w:asciiTheme="minorHAnsi" w:hAnsiTheme="minorHAnsi" w:cstheme="minorHAnsi"/>
                <w:sz w:val="22"/>
                <w:szCs w:val="22"/>
              </w:rPr>
              <w:lastRenderedPageBreak/>
              <w:t>Price Taker</w:t>
            </w:r>
          </w:p>
        </w:tc>
        <w:tc>
          <w:tcPr>
            <w:tcW w:w="7088" w:type="dxa"/>
            <w:shd w:val="clear" w:color="auto" w:fill="auto"/>
            <w:vAlign w:val="center"/>
          </w:tcPr>
          <w:p w14:paraId="4154FA6C" w14:textId="67BAB6D2" w:rsidR="007F2C5D" w:rsidRPr="00912E9B" w:rsidRDefault="007F2C5D" w:rsidP="00D40051">
            <w:pPr>
              <w:pStyle w:val="CERGlossaryDefinition"/>
              <w:jc w:val="left"/>
              <w:rPr>
                <w:rFonts w:asciiTheme="minorHAnsi" w:hAnsiTheme="minorHAnsi" w:cstheme="minorHAnsi"/>
                <w:sz w:val="22"/>
                <w:szCs w:val="22"/>
              </w:rPr>
            </w:pPr>
            <w:r w:rsidRPr="00912E9B">
              <w:rPr>
                <w:rFonts w:asciiTheme="majorHAnsi" w:hAnsiTheme="majorHAnsi" w:cstheme="majorHAnsi"/>
                <w:sz w:val="22"/>
                <w:szCs w:val="22"/>
              </w:rPr>
              <w:t>is an Exchange Member which submit Order without S</w:t>
            </w:r>
            <w:r w:rsidR="0077458B" w:rsidRPr="00912E9B">
              <w:rPr>
                <w:rFonts w:asciiTheme="majorHAnsi" w:hAnsiTheme="majorHAnsi" w:cstheme="majorHAnsi"/>
                <w:sz w:val="22"/>
                <w:szCs w:val="22"/>
              </w:rPr>
              <w:t>e</w:t>
            </w:r>
            <w:r w:rsidRPr="00912E9B">
              <w:rPr>
                <w:rFonts w:asciiTheme="majorHAnsi" w:hAnsiTheme="majorHAnsi" w:cstheme="majorHAnsi"/>
                <w:sz w:val="22"/>
                <w:szCs w:val="22"/>
              </w:rPr>
              <w:t>l</w:t>
            </w:r>
            <w:r w:rsidR="0077458B" w:rsidRPr="00912E9B">
              <w:rPr>
                <w:rFonts w:asciiTheme="majorHAnsi" w:hAnsiTheme="majorHAnsi" w:cstheme="majorHAnsi"/>
                <w:sz w:val="22"/>
                <w:szCs w:val="22"/>
              </w:rPr>
              <w:t>ling</w:t>
            </w:r>
            <w:r w:rsidRPr="00912E9B">
              <w:rPr>
                <w:rFonts w:asciiTheme="majorHAnsi" w:hAnsiTheme="majorHAnsi" w:cstheme="majorHAnsi"/>
                <w:sz w:val="22"/>
                <w:szCs w:val="22"/>
              </w:rPr>
              <w:t xml:space="preserve"> or Purchas</w:t>
            </w:r>
            <w:r w:rsidR="0077458B" w:rsidRPr="00912E9B">
              <w:rPr>
                <w:rFonts w:asciiTheme="majorHAnsi" w:hAnsiTheme="majorHAnsi" w:cstheme="majorHAnsi"/>
                <w:sz w:val="22"/>
                <w:szCs w:val="22"/>
              </w:rPr>
              <w:t>ing</w:t>
            </w:r>
            <w:r w:rsidRPr="00912E9B">
              <w:rPr>
                <w:rFonts w:asciiTheme="majorHAnsi" w:hAnsiTheme="majorHAnsi" w:cstheme="majorHAnsi"/>
                <w:sz w:val="22"/>
                <w:szCs w:val="22"/>
              </w:rPr>
              <w:t xml:space="preserve"> Price and must accept the respective Market Clearing Price</w:t>
            </w:r>
            <w:r w:rsidR="009A0C34" w:rsidRPr="00912E9B">
              <w:rPr>
                <w:rFonts w:asciiTheme="majorHAnsi" w:hAnsiTheme="majorHAnsi" w:cstheme="majorHAnsi"/>
                <w:sz w:val="22"/>
                <w:szCs w:val="22"/>
              </w:rPr>
              <w:t xml:space="preserve"> for settlement of its Transition.</w:t>
            </w:r>
          </w:p>
        </w:tc>
      </w:tr>
      <w:tr w:rsidR="00912E9B" w:rsidRPr="00912E9B" w14:paraId="4E62DC16" w14:textId="77777777" w:rsidTr="00D40051">
        <w:trPr>
          <w:cantSplit/>
        </w:trPr>
        <w:tc>
          <w:tcPr>
            <w:tcW w:w="2298" w:type="dxa"/>
            <w:shd w:val="clear" w:color="auto" w:fill="auto"/>
            <w:vAlign w:val="center"/>
          </w:tcPr>
          <w:p w14:paraId="586F1A74" w14:textId="37013B13" w:rsidR="007F2C5D" w:rsidRPr="00912E9B" w:rsidRDefault="007F2C5D" w:rsidP="007F2C5D">
            <w:pPr>
              <w:pStyle w:val="CERGlossaryTerm"/>
              <w:rPr>
                <w:rFonts w:asciiTheme="minorHAnsi" w:hAnsiTheme="minorHAnsi" w:cstheme="minorHAnsi"/>
                <w:sz w:val="22"/>
                <w:szCs w:val="22"/>
              </w:rPr>
            </w:pPr>
            <w:r w:rsidRPr="00912E9B">
              <w:rPr>
                <w:rFonts w:asciiTheme="minorHAnsi" w:hAnsiTheme="minorHAnsi" w:cstheme="minorHAnsi"/>
                <w:sz w:val="22"/>
                <w:szCs w:val="22"/>
              </w:rPr>
              <w:t>Priority Price-Taking (Buy/Sell) Order</w:t>
            </w:r>
          </w:p>
        </w:tc>
        <w:tc>
          <w:tcPr>
            <w:tcW w:w="7088" w:type="dxa"/>
            <w:shd w:val="clear" w:color="auto" w:fill="auto"/>
            <w:vAlign w:val="center"/>
          </w:tcPr>
          <w:p w14:paraId="3956B4CD" w14:textId="45440A5D" w:rsidR="007F2C5D" w:rsidRPr="00912E9B" w:rsidRDefault="007F2C5D"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Priority Price</w:t>
            </w:r>
            <w:r w:rsidRPr="00912E9B">
              <w:rPr>
                <w:rFonts w:ascii="Cambria Math" w:hAnsi="Cambria Math" w:cs="Cambria Math"/>
                <w:sz w:val="22"/>
                <w:szCs w:val="22"/>
              </w:rPr>
              <w:t>‐</w:t>
            </w:r>
            <w:r w:rsidRPr="00912E9B">
              <w:rPr>
                <w:rFonts w:asciiTheme="minorHAnsi" w:hAnsiTheme="minorHAnsi" w:cstheme="minorHAnsi"/>
                <w:sz w:val="22"/>
                <w:szCs w:val="22"/>
              </w:rPr>
              <w:t xml:space="preserve">Taking (Buy/Sell) Orders are </w:t>
            </w:r>
            <w:proofErr w:type="gramStart"/>
            <w:r w:rsidRPr="00912E9B">
              <w:rPr>
                <w:rFonts w:asciiTheme="minorHAnsi" w:hAnsiTheme="minorHAnsi" w:cstheme="minorHAnsi"/>
                <w:sz w:val="22"/>
                <w:szCs w:val="22"/>
              </w:rPr>
              <w:t>step-wise</w:t>
            </w:r>
            <w:proofErr w:type="gramEnd"/>
            <w:r w:rsidRPr="00912E9B">
              <w:rPr>
                <w:rFonts w:asciiTheme="minorHAnsi" w:hAnsiTheme="minorHAnsi" w:cstheme="minorHAnsi"/>
                <w:sz w:val="22"/>
                <w:szCs w:val="22"/>
              </w:rPr>
              <w:t xml:space="preserve"> Hourly (Buy/Sell) Orders submitted at a price equal to (maximum/minimum) the Price Threshold in the Day-Ahead and Intraday Auctions.</w:t>
            </w:r>
          </w:p>
        </w:tc>
      </w:tr>
      <w:tr w:rsidR="00912E9B" w:rsidRPr="00912E9B" w14:paraId="3784F008" w14:textId="77777777" w:rsidTr="00D40051">
        <w:trPr>
          <w:cantSplit/>
        </w:trPr>
        <w:tc>
          <w:tcPr>
            <w:tcW w:w="2298" w:type="dxa"/>
            <w:shd w:val="clear" w:color="auto" w:fill="auto"/>
            <w:vAlign w:val="center"/>
          </w:tcPr>
          <w:p w14:paraId="1502EF29" w14:textId="0FF6090F" w:rsidR="007F2C5D" w:rsidRPr="00912E9B" w:rsidRDefault="007F2C5D" w:rsidP="007F2C5D">
            <w:pPr>
              <w:pStyle w:val="CERGlossaryTerm"/>
              <w:rPr>
                <w:rFonts w:asciiTheme="majorHAnsi" w:hAnsiTheme="majorHAnsi" w:cstheme="majorHAnsi"/>
                <w:sz w:val="22"/>
                <w:szCs w:val="22"/>
              </w:rPr>
            </w:pPr>
            <w:r w:rsidRPr="00912E9B">
              <w:rPr>
                <w:rFonts w:asciiTheme="majorHAnsi" w:hAnsiTheme="majorHAnsi" w:cstheme="majorHAnsi"/>
                <w:sz w:val="22"/>
                <w:szCs w:val="22"/>
              </w:rPr>
              <w:t>Procedure</w:t>
            </w:r>
          </w:p>
        </w:tc>
        <w:tc>
          <w:tcPr>
            <w:tcW w:w="7088" w:type="dxa"/>
            <w:shd w:val="clear" w:color="auto" w:fill="auto"/>
            <w:vAlign w:val="center"/>
          </w:tcPr>
          <w:p w14:paraId="2C9DA9B9" w14:textId="4602C65E" w:rsidR="007F2C5D" w:rsidRPr="00912E9B" w:rsidRDefault="007F2C5D"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the detailed procedures to be followed by Parties in performing their obligations and functions under the ALPEX Rules. </w:t>
            </w:r>
          </w:p>
        </w:tc>
      </w:tr>
      <w:tr w:rsidR="00912E9B" w:rsidRPr="00912E9B" w14:paraId="0B95C5BC" w14:textId="77777777" w:rsidTr="00D40051">
        <w:trPr>
          <w:cantSplit/>
        </w:trPr>
        <w:tc>
          <w:tcPr>
            <w:tcW w:w="2298" w:type="dxa"/>
            <w:shd w:val="clear" w:color="auto" w:fill="auto"/>
            <w:vAlign w:val="center"/>
          </w:tcPr>
          <w:p w14:paraId="67268744" w14:textId="07A9CE32" w:rsidR="007F2C5D" w:rsidRPr="00912E9B" w:rsidRDefault="007F2C5D" w:rsidP="007F2C5D">
            <w:pPr>
              <w:pStyle w:val="CERGlossaryTerm"/>
              <w:rPr>
                <w:rFonts w:asciiTheme="majorHAnsi" w:hAnsiTheme="majorHAnsi" w:cstheme="majorHAnsi"/>
                <w:sz w:val="22"/>
                <w:szCs w:val="22"/>
              </w:rPr>
            </w:pPr>
            <w:r w:rsidRPr="00912E9B">
              <w:rPr>
                <w:rFonts w:asciiTheme="majorHAnsi" w:hAnsiTheme="majorHAnsi" w:cstheme="majorHAnsi"/>
                <w:sz w:val="22"/>
                <w:szCs w:val="22"/>
              </w:rPr>
              <w:t>Producer</w:t>
            </w:r>
          </w:p>
        </w:tc>
        <w:tc>
          <w:tcPr>
            <w:tcW w:w="7088" w:type="dxa"/>
            <w:shd w:val="clear" w:color="auto" w:fill="auto"/>
            <w:vAlign w:val="center"/>
          </w:tcPr>
          <w:p w14:paraId="4C203B75" w14:textId="3B7951CE" w:rsidR="007F2C5D" w:rsidRPr="00912E9B" w:rsidRDefault="007F2C5D"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a legal entity generating electricity and holding </w:t>
            </w:r>
            <w:proofErr w:type="gramStart"/>
            <w:r w:rsidRPr="00912E9B">
              <w:rPr>
                <w:rFonts w:asciiTheme="majorHAnsi" w:hAnsiTheme="majorHAnsi" w:cstheme="majorHAnsi"/>
                <w:sz w:val="22"/>
                <w:szCs w:val="22"/>
              </w:rPr>
              <w:t>a</w:t>
            </w:r>
            <w:proofErr w:type="gramEnd"/>
            <w:r w:rsidRPr="00912E9B">
              <w:rPr>
                <w:rFonts w:asciiTheme="majorHAnsi" w:hAnsiTheme="majorHAnsi" w:cstheme="majorHAnsi"/>
                <w:sz w:val="22"/>
                <w:szCs w:val="22"/>
              </w:rPr>
              <w:t xml:space="preserve"> electricity production License </w:t>
            </w:r>
          </w:p>
        </w:tc>
      </w:tr>
      <w:tr w:rsidR="00912E9B" w:rsidRPr="00912E9B" w14:paraId="5C5C8D32" w14:textId="77777777" w:rsidTr="00D40051">
        <w:trPr>
          <w:cantSplit/>
        </w:trPr>
        <w:tc>
          <w:tcPr>
            <w:tcW w:w="2298" w:type="dxa"/>
            <w:shd w:val="clear" w:color="auto" w:fill="auto"/>
            <w:vAlign w:val="center"/>
          </w:tcPr>
          <w:p w14:paraId="55F5B704" w14:textId="02BECCA6" w:rsidR="007F2C5D" w:rsidRPr="00912E9B" w:rsidRDefault="007F2C5D" w:rsidP="007F2C5D">
            <w:pPr>
              <w:pStyle w:val="CERGlossaryTerm"/>
              <w:rPr>
                <w:rFonts w:asciiTheme="majorHAnsi" w:hAnsiTheme="majorHAnsi" w:cstheme="majorHAnsi"/>
                <w:sz w:val="22"/>
                <w:szCs w:val="22"/>
              </w:rPr>
            </w:pPr>
            <w:r w:rsidRPr="00912E9B">
              <w:rPr>
                <w:rFonts w:asciiTheme="majorHAnsi" w:hAnsiTheme="majorHAnsi" w:cstheme="majorHAnsi"/>
                <w:sz w:val="22"/>
                <w:szCs w:val="22"/>
              </w:rPr>
              <w:t>Product</w:t>
            </w:r>
          </w:p>
        </w:tc>
        <w:tc>
          <w:tcPr>
            <w:tcW w:w="7088" w:type="dxa"/>
            <w:shd w:val="clear" w:color="auto" w:fill="auto"/>
            <w:vAlign w:val="center"/>
          </w:tcPr>
          <w:p w14:paraId="4E7AE97F" w14:textId="4C309965" w:rsidR="007F2C5D" w:rsidRPr="00912E9B" w:rsidRDefault="007F2C5D" w:rsidP="00D40051">
            <w:pPr>
              <w:pStyle w:val="CERGlossaryDefinition"/>
              <w:jc w:val="left"/>
              <w:rPr>
                <w:rFonts w:asciiTheme="majorHAnsi" w:hAnsiTheme="majorHAnsi" w:cstheme="majorHAnsi"/>
                <w:sz w:val="22"/>
                <w:szCs w:val="22"/>
                <w:lang w:val="en-US"/>
              </w:rPr>
            </w:pPr>
            <w:r w:rsidRPr="00912E9B">
              <w:rPr>
                <w:rFonts w:asciiTheme="minorHAnsi" w:hAnsiTheme="minorHAnsi" w:cstheme="minorHAnsi"/>
                <w:sz w:val="22"/>
                <w:szCs w:val="22"/>
              </w:rPr>
              <w:t>The wholesale energy products which are traded in the Electricity Markets in accordance with their specific definitions and the provisions.</w:t>
            </w:r>
          </w:p>
        </w:tc>
      </w:tr>
      <w:tr w:rsidR="00912E9B" w:rsidRPr="00912E9B" w14:paraId="773B2F4F" w14:textId="77777777" w:rsidTr="00D40051">
        <w:trPr>
          <w:cantSplit/>
        </w:trPr>
        <w:tc>
          <w:tcPr>
            <w:tcW w:w="2298" w:type="dxa"/>
            <w:shd w:val="clear" w:color="auto" w:fill="auto"/>
            <w:vAlign w:val="center"/>
          </w:tcPr>
          <w:p w14:paraId="65A18BC2" w14:textId="77777777" w:rsidR="007F2C5D" w:rsidRPr="00912E9B" w:rsidRDefault="007F2C5D" w:rsidP="007F2C5D">
            <w:pPr>
              <w:pStyle w:val="CERGlossaryTerm"/>
              <w:rPr>
                <w:rFonts w:asciiTheme="majorHAnsi" w:hAnsiTheme="majorHAnsi" w:cstheme="majorHAnsi"/>
                <w:sz w:val="22"/>
                <w:szCs w:val="22"/>
              </w:rPr>
            </w:pPr>
            <w:r w:rsidRPr="00912E9B">
              <w:rPr>
                <w:rFonts w:asciiTheme="majorHAnsi" w:hAnsiTheme="majorHAnsi" w:cstheme="majorHAnsi"/>
                <w:sz w:val="22"/>
                <w:szCs w:val="22"/>
              </w:rPr>
              <w:t>Product Specification</w:t>
            </w:r>
          </w:p>
        </w:tc>
        <w:tc>
          <w:tcPr>
            <w:tcW w:w="7088" w:type="dxa"/>
            <w:shd w:val="clear" w:color="auto" w:fill="auto"/>
            <w:vAlign w:val="center"/>
          </w:tcPr>
          <w:p w14:paraId="017B6E18" w14:textId="4CFDD515" w:rsidR="007F2C5D" w:rsidRPr="00912E9B" w:rsidRDefault="00D02B2C"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the </w:t>
            </w:r>
            <w:r w:rsidRPr="00912E9B" w:rsidDel="001662AE">
              <w:rPr>
                <w:rFonts w:asciiTheme="majorHAnsi" w:hAnsiTheme="majorHAnsi" w:cstheme="majorHAnsi"/>
                <w:sz w:val="22"/>
                <w:szCs w:val="22"/>
              </w:rPr>
              <w:t xml:space="preserve">specifications for the </w:t>
            </w:r>
            <w:r w:rsidRPr="00912E9B">
              <w:rPr>
                <w:rFonts w:asciiTheme="majorHAnsi" w:hAnsiTheme="majorHAnsi" w:cstheme="majorHAnsi"/>
                <w:sz w:val="22"/>
                <w:szCs w:val="22"/>
              </w:rPr>
              <w:t>D</w:t>
            </w:r>
            <w:r w:rsidRPr="00912E9B" w:rsidDel="001662AE">
              <w:rPr>
                <w:rFonts w:asciiTheme="majorHAnsi" w:hAnsiTheme="majorHAnsi" w:cstheme="majorHAnsi"/>
                <w:sz w:val="22"/>
                <w:szCs w:val="22"/>
              </w:rPr>
              <w:t>ay-</w:t>
            </w:r>
            <w:r w:rsidRPr="00912E9B">
              <w:rPr>
                <w:rFonts w:asciiTheme="majorHAnsi" w:hAnsiTheme="majorHAnsi" w:cstheme="majorHAnsi"/>
                <w:sz w:val="22"/>
                <w:szCs w:val="22"/>
              </w:rPr>
              <w:t>A</w:t>
            </w:r>
            <w:r w:rsidRPr="00912E9B" w:rsidDel="001662AE">
              <w:rPr>
                <w:rFonts w:asciiTheme="majorHAnsi" w:hAnsiTheme="majorHAnsi" w:cstheme="majorHAnsi"/>
                <w:sz w:val="22"/>
                <w:szCs w:val="22"/>
              </w:rPr>
              <w:t>head</w:t>
            </w:r>
            <w:r w:rsidRPr="00912E9B">
              <w:rPr>
                <w:rFonts w:asciiTheme="majorHAnsi" w:hAnsiTheme="majorHAnsi" w:cstheme="majorHAnsi"/>
                <w:sz w:val="22"/>
                <w:szCs w:val="22"/>
              </w:rPr>
              <w:t xml:space="preserve">, Intraday Auction and Continuous Intraday Trading </w:t>
            </w:r>
            <w:r w:rsidRPr="00912E9B" w:rsidDel="001662AE">
              <w:rPr>
                <w:rFonts w:asciiTheme="majorHAnsi" w:hAnsiTheme="majorHAnsi" w:cstheme="majorHAnsi"/>
                <w:sz w:val="22"/>
                <w:szCs w:val="22"/>
              </w:rPr>
              <w:t>market segment</w:t>
            </w:r>
            <w:r w:rsidRPr="00912E9B">
              <w:rPr>
                <w:rFonts w:asciiTheme="majorHAnsi" w:hAnsiTheme="majorHAnsi" w:cstheme="majorHAnsi"/>
                <w:sz w:val="22"/>
                <w:szCs w:val="22"/>
              </w:rPr>
              <w:t>s</w:t>
            </w:r>
            <w:r w:rsidRPr="00912E9B" w:rsidDel="001662AE">
              <w:rPr>
                <w:rFonts w:asciiTheme="majorHAnsi" w:hAnsiTheme="majorHAnsi" w:cstheme="majorHAnsi"/>
                <w:sz w:val="22"/>
                <w:szCs w:val="22"/>
              </w:rPr>
              <w:t xml:space="preserve"> of </w:t>
            </w:r>
            <w:r w:rsidRPr="00912E9B">
              <w:rPr>
                <w:rFonts w:asciiTheme="majorHAnsi" w:hAnsiTheme="majorHAnsi" w:cstheme="majorHAnsi"/>
                <w:sz w:val="22"/>
                <w:szCs w:val="22"/>
              </w:rPr>
              <w:t xml:space="preserve">the Exchange </w:t>
            </w:r>
            <w:r w:rsidRPr="00912E9B" w:rsidDel="001662AE">
              <w:rPr>
                <w:rFonts w:asciiTheme="majorHAnsi" w:hAnsiTheme="majorHAnsi" w:cstheme="majorHAnsi"/>
                <w:sz w:val="22"/>
                <w:szCs w:val="22"/>
              </w:rPr>
              <w:t xml:space="preserve">listed in </w:t>
            </w:r>
            <w:r w:rsidRPr="00912E9B">
              <w:rPr>
                <w:rFonts w:asciiTheme="majorHAnsi" w:hAnsiTheme="majorHAnsi" w:cstheme="majorHAnsi"/>
                <w:sz w:val="22"/>
                <w:szCs w:val="22"/>
              </w:rPr>
              <w:t xml:space="preserve">Appendix A of </w:t>
            </w:r>
            <w:r w:rsidRPr="00912E9B" w:rsidDel="001662AE">
              <w:rPr>
                <w:rFonts w:asciiTheme="majorHAnsi" w:hAnsiTheme="majorHAnsi" w:cstheme="majorHAnsi"/>
                <w:sz w:val="22"/>
                <w:szCs w:val="22"/>
              </w:rPr>
              <w:t>the</w:t>
            </w:r>
            <w:r w:rsidRPr="00912E9B">
              <w:rPr>
                <w:rFonts w:asciiTheme="majorHAnsi" w:hAnsiTheme="majorHAnsi" w:cstheme="majorHAnsi"/>
                <w:sz w:val="22"/>
                <w:szCs w:val="22"/>
              </w:rPr>
              <w:t xml:space="preserve"> Trading Procedures.</w:t>
            </w:r>
          </w:p>
        </w:tc>
      </w:tr>
      <w:tr w:rsidR="00912E9B" w:rsidRPr="00912E9B" w14:paraId="1FDE4F91" w14:textId="77777777" w:rsidTr="00906923">
        <w:trPr>
          <w:cantSplit/>
        </w:trPr>
        <w:tc>
          <w:tcPr>
            <w:tcW w:w="2298" w:type="dxa"/>
            <w:shd w:val="clear" w:color="auto" w:fill="auto"/>
            <w:vAlign w:val="center"/>
          </w:tcPr>
          <w:p w14:paraId="3492EA6E" w14:textId="77777777" w:rsidR="00D02B2C" w:rsidRPr="00912E9B" w:rsidRDefault="00D02B2C" w:rsidP="00D02B2C">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rPr>
              <w:t>Proposer</w:t>
            </w:r>
          </w:p>
        </w:tc>
        <w:tc>
          <w:tcPr>
            <w:tcW w:w="7088" w:type="dxa"/>
            <w:shd w:val="clear" w:color="auto" w:fill="auto"/>
          </w:tcPr>
          <w:p w14:paraId="03383F3A" w14:textId="2F33F967"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in respect of a Modification Proposal, means a Party entitled with the right to file Modification Proposals for these ALPEX Rules</w:t>
            </w:r>
            <w:r w:rsidR="000A6803" w:rsidRPr="00912E9B">
              <w:rPr>
                <w:rFonts w:asciiTheme="majorHAnsi" w:hAnsiTheme="majorHAnsi" w:cstheme="majorHAnsi"/>
                <w:sz w:val="22"/>
                <w:szCs w:val="22"/>
              </w:rPr>
              <w:t xml:space="preserve"> and the Procedures</w:t>
            </w:r>
            <w:r w:rsidRPr="00912E9B">
              <w:rPr>
                <w:rFonts w:asciiTheme="majorHAnsi" w:hAnsiTheme="majorHAnsi" w:cstheme="majorHAnsi"/>
                <w:sz w:val="22"/>
                <w:szCs w:val="22"/>
              </w:rPr>
              <w:t>.</w:t>
            </w:r>
          </w:p>
        </w:tc>
      </w:tr>
      <w:tr w:rsidR="00912E9B" w:rsidRPr="00912E9B" w14:paraId="0AD1C98D" w14:textId="77777777" w:rsidTr="00D40051">
        <w:trPr>
          <w:cantSplit/>
        </w:trPr>
        <w:tc>
          <w:tcPr>
            <w:tcW w:w="2298" w:type="dxa"/>
            <w:shd w:val="clear" w:color="auto" w:fill="auto"/>
            <w:vAlign w:val="center"/>
          </w:tcPr>
          <w:p w14:paraId="1CA57CCA" w14:textId="4FB706B3"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Public Generator </w:t>
            </w:r>
          </w:p>
        </w:tc>
        <w:tc>
          <w:tcPr>
            <w:tcW w:w="7088" w:type="dxa"/>
            <w:shd w:val="clear" w:color="auto" w:fill="auto"/>
            <w:vAlign w:val="center"/>
          </w:tcPr>
          <w:p w14:paraId="13B1107A" w14:textId="53DCB724"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w:t>
            </w:r>
            <w:r w:rsidR="002B306C" w:rsidRPr="00912E9B">
              <w:rPr>
                <w:rFonts w:asciiTheme="majorHAnsi" w:hAnsiTheme="majorHAnsi" w:cstheme="majorHAnsi"/>
                <w:sz w:val="22"/>
                <w:szCs w:val="22"/>
              </w:rPr>
              <w:t>n</w:t>
            </w:r>
            <w:r w:rsidRPr="00912E9B">
              <w:rPr>
                <w:rFonts w:asciiTheme="majorHAnsi" w:hAnsiTheme="majorHAnsi" w:cstheme="majorHAnsi"/>
                <w:sz w:val="22"/>
                <w:szCs w:val="22"/>
              </w:rPr>
              <w:t xml:space="preserve"> electricity generator own by state of Albanian or Kosovo</w:t>
            </w:r>
          </w:p>
        </w:tc>
      </w:tr>
      <w:tr w:rsidR="00912E9B" w:rsidRPr="00912E9B" w14:paraId="3324E8ED" w14:textId="77777777" w:rsidTr="00D40051">
        <w:trPr>
          <w:cantSplit/>
        </w:trPr>
        <w:tc>
          <w:tcPr>
            <w:tcW w:w="2298" w:type="dxa"/>
            <w:shd w:val="clear" w:color="auto" w:fill="auto"/>
            <w:vAlign w:val="center"/>
          </w:tcPr>
          <w:p w14:paraId="6FFF1207" w14:textId="4059F163" w:rsidR="00D02B2C" w:rsidRPr="00912E9B" w:rsidRDefault="00D02B2C" w:rsidP="00D02B2C">
            <w:pPr>
              <w:pStyle w:val="CERGlossaryTerm"/>
              <w:rPr>
                <w:rFonts w:asciiTheme="majorHAnsi" w:hAnsiTheme="majorHAnsi" w:cstheme="majorBidi"/>
                <w:sz w:val="22"/>
                <w:szCs w:val="22"/>
              </w:rPr>
            </w:pPr>
            <w:r w:rsidRPr="00912E9B">
              <w:rPr>
                <w:rFonts w:asciiTheme="majorHAnsi" w:hAnsiTheme="majorHAnsi" w:cstheme="majorBidi"/>
                <w:sz w:val="22"/>
                <w:szCs w:val="22"/>
              </w:rPr>
              <w:t>Regulatory Authority</w:t>
            </w:r>
          </w:p>
        </w:tc>
        <w:tc>
          <w:tcPr>
            <w:tcW w:w="7088" w:type="dxa"/>
            <w:shd w:val="clear" w:color="auto" w:fill="auto"/>
            <w:vAlign w:val="center"/>
          </w:tcPr>
          <w:p w14:paraId="27639A58" w14:textId="6DC79824"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either the ERE and/or the ERO</w:t>
            </w:r>
          </w:p>
        </w:tc>
      </w:tr>
      <w:tr w:rsidR="00912E9B" w:rsidRPr="00912E9B" w14:paraId="613FFD02" w14:textId="77777777" w:rsidTr="00D40051">
        <w:trPr>
          <w:cantSplit/>
        </w:trPr>
        <w:tc>
          <w:tcPr>
            <w:tcW w:w="2298" w:type="dxa"/>
            <w:shd w:val="clear" w:color="auto" w:fill="auto"/>
            <w:vAlign w:val="center"/>
          </w:tcPr>
          <w:p w14:paraId="44EFCDDB" w14:textId="567EE9CA"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t>Regulatory Decision</w:t>
            </w:r>
          </w:p>
        </w:tc>
        <w:tc>
          <w:tcPr>
            <w:tcW w:w="7088" w:type="dxa"/>
            <w:shd w:val="clear" w:color="auto" w:fill="auto"/>
            <w:vAlign w:val="center"/>
          </w:tcPr>
          <w:p w14:paraId="3EB92EAA" w14:textId="65D041A1"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decision taken by the ERE or ERO regarding to Albanian or Kosovo market as the case might be.</w:t>
            </w:r>
          </w:p>
        </w:tc>
      </w:tr>
      <w:tr w:rsidR="00912E9B" w:rsidRPr="00912E9B" w14:paraId="3B1DEB8C" w14:textId="77777777" w:rsidTr="00D40051">
        <w:trPr>
          <w:cantSplit/>
        </w:trPr>
        <w:tc>
          <w:tcPr>
            <w:tcW w:w="2298" w:type="dxa"/>
            <w:shd w:val="clear" w:color="auto" w:fill="auto"/>
            <w:vAlign w:val="center"/>
          </w:tcPr>
          <w:p w14:paraId="2A08A676" w14:textId="6537835F"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t>Regulatory Reporting Requirement</w:t>
            </w:r>
          </w:p>
        </w:tc>
        <w:tc>
          <w:tcPr>
            <w:tcW w:w="7088" w:type="dxa"/>
            <w:shd w:val="clear" w:color="auto" w:fill="auto"/>
            <w:vAlign w:val="center"/>
          </w:tcPr>
          <w:p w14:paraId="28E6D8F5" w14:textId="56FD17AE"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required report from Regulatory Authorities or another Competent Authority under any Applicable Law to compile, collect and/or submit any information or data, or any conduct or any matter, relating to the Exchange or its operation. </w:t>
            </w:r>
          </w:p>
        </w:tc>
      </w:tr>
      <w:tr w:rsidR="00912E9B" w:rsidRPr="00912E9B" w14:paraId="5525A889" w14:textId="77777777" w:rsidTr="00D40051">
        <w:trPr>
          <w:cantSplit/>
        </w:trPr>
        <w:tc>
          <w:tcPr>
            <w:tcW w:w="2298" w:type="dxa"/>
            <w:shd w:val="clear" w:color="auto" w:fill="auto"/>
            <w:vAlign w:val="center"/>
          </w:tcPr>
          <w:p w14:paraId="05E22AB6" w14:textId="7F8DB43F"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t>Relevant Authority</w:t>
            </w:r>
          </w:p>
        </w:tc>
        <w:tc>
          <w:tcPr>
            <w:tcW w:w="7088" w:type="dxa"/>
            <w:shd w:val="clear" w:color="auto" w:fill="auto"/>
            <w:vAlign w:val="center"/>
          </w:tcPr>
          <w:p w14:paraId="508D3B38" w14:textId="688B6457"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Regulatory Authorities or another Competent Authority under any Applicable Law.</w:t>
            </w:r>
          </w:p>
        </w:tc>
      </w:tr>
      <w:tr w:rsidR="00912E9B" w:rsidRPr="00912E9B" w14:paraId="1477E8F3" w14:textId="77777777" w:rsidTr="00D40051">
        <w:trPr>
          <w:cantSplit/>
        </w:trPr>
        <w:tc>
          <w:tcPr>
            <w:tcW w:w="2298" w:type="dxa"/>
            <w:shd w:val="clear" w:color="auto" w:fill="auto"/>
            <w:vAlign w:val="center"/>
          </w:tcPr>
          <w:p w14:paraId="20BF7DC4" w14:textId="77777777"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t>REMIT</w:t>
            </w:r>
          </w:p>
        </w:tc>
        <w:tc>
          <w:tcPr>
            <w:tcW w:w="7088" w:type="dxa"/>
            <w:shd w:val="clear" w:color="auto" w:fill="auto"/>
            <w:vAlign w:val="center"/>
          </w:tcPr>
          <w:p w14:paraId="6D48948D" w14:textId="73DF081D"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regulation on the integrity and transparency of the wholesale electricity market issued by Relevant Regulatory Authority</w:t>
            </w:r>
          </w:p>
        </w:tc>
      </w:tr>
      <w:tr w:rsidR="00912E9B" w:rsidRPr="00912E9B" w14:paraId="02B6E1FD" w14:textId="77777777" w:rsidTr="00D40051">
        <w:trPr>
          <w:cantSplit/>
        </w:trPr>
        <w:tc>
          <w:tcPr>
            <w:tcW w:w="2298" w:type="dxa"/>
            <w:shd w:val="clear" w:color="auto" w:fill="auto"/>
            <w:vAlign w:val="center"/>
          </w:tcPr>
          <w:p w14:paraId="3F64C80C" w14:textId="1A7DB5FC"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t>Renewable Energy Source Operator</w:t>
            </w:r>
          </w:p>
        </w:tc>
        <w:tc>
          <w:tcPr>
            <w:tcW w:w="7088" w:type="dxa"/>
            <w:shd w:val="clear" w:color="auto" w:fill="auto"/>
            <w:vAlign w:val="center"/>
          </w:tcPr>
          <w:p w14:paraId="185B541F" w14:textId="63BB5312" w:rsidR="00D02B2C" w:rsidRPr="00912E9B" w:rsidRDefault="00D02B2C" w:rsidP="00D02B2C">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operator that performs the functions of the Renewable Energy Operator as it mentions in the relevant RES Law.</w:t>
            </w:r>
          </w:p>
        </w:tc>
      </w:tr>
      <w:tr w:rsidR="00912E9B" w:rsidRPr="00912E9B" w14:paraId="6F58E035" w14:textId="77777777" w:rsidTr="00D40051">
        <w:trPr>
          <w:cantSplit/>
        </w:trPr>
        <w:tc>
          <w:tcPr>
            <w:tcW w:w="2298" w:type="dxa"/>
            <w:shd w:val="clear" w:color="auto" w:fill="auto"/>
            <w:vAlign w:val="center"/>
          </w:tcPr>
          <w:p w14:paraId="76D44F04" w14:textId="57DE6CD6"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t>Required Authorisations</w:t>
            </w:r>
          </w:p>
        </w:tc>
        <w:tc>
          <w:tcPr>
            <w:tcW w:w="7088" w:type="dxa"/>
            <w:shd w:val="clear" w:color="auto" w:fill="auto"/>
            <w:vAlign w:val="center"/>
          </w:tcPr>
          <w:p w14:paraId="49E84982" w14:textId="0B0221BE" w:rsidR="00D02B2C" w:rsidRPr="00912E9B" w:rsidRDefault="00D02B2C" w:rsidP="00D02B2C">
            <w:pPr>
              <w:pStyle w:val="CERLEVEL4"/>
              <w:keepNext w:val="0"/>
              <w:numPr>
                <w:ilvl w:val="0"/>
                <w:numId w:val="0"/>
              </w:numPr>
              <w:ind w:left="36" w:hanging="36"/>
              <w:jc w:val="left"/>
              <w:rPr>
                <w:rFonts w:asciiTheme="majorHAnsi" w:hAnsiTheme="majorHAnsi" w:cstheme="majorHAnsi"/>
              </w:rPr>
            </w:pPr>
            <w:r w:rsidRPr="00912E9B">
              <w:rPr>
                <w:rFonts w:asciiTheme="majorHAnsi" w:hAnsiTheme="majorHAnsi" w:cstheme="majorHAnsi"/>
              </w:rPr>
              <w:t xml:space="preserve">means all licenses, authorizations, permits, agreements, </w:t>
            </w:r>
            <w:proofErr w:type="gramStart"/>
            <w:r w:rsidRPr="00912E9B">
              <w:rPr>
                <w:rFonts w:asciiTheme="majorHAnsi" w:hAnsiTheme="majorHAnsi" w:cstheme="majorHAnsi"/>
              </w:rPr>
              <w:t>contracts</w:t>
            </w:r>
            <w:proofErr w:type="gramEnd"/>
            <w:r w:rsidRPr="00912E9B">
              <w:rPr>
                <w:rFonts w:asciiTheme="majorHAnsi" w:hAnsiTheme="majorHAnsi" w:cstheme="majorHAnsi"/>
              </w:rPr>
              <w:t xml:space="preserve"> and other approvals (if any) which are provided by the Relevant Authorities and are required to enable a Party to fulfil its obligations under the ALPEX Rules and Procedures, in accordance with applicable law.</w:t>
            </w:r>
          </w:p>
        </w:tc>
      </w:tr>
      <w:tr w:rsidR="00D02B2C" w:rsidRPr="00912E9B" w14:paraId="524F0059" w14:textId="77777777" w:rsidTr="00D40051">
        <w:trPr>
          <w:cantSplit/>
        </w:trPr>
        <w:tc>
          <w:tcPr>
            <w:tcW w:w="2298" w:type="dxa"/>
            <w:shd w:val="clear" w:color="auto" w:fill="auto"/>
            <w:vAlign w:val="center"/>
          </w:tcPr>
          <w:p w14:paraId="01F35598" w14:textId="2E36C0E2" w:rsidR="00D02B2C" w:rsidRPr="00912E9B" w:rsidRDefault="00D02B2C" w:rsidP="00D02B2C">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Resignation</w:t>
            </w:r>
          </w:p>
        </w:tc>
        <w:tc>
          <w:tcPr>
            <w:tcW w:w="7088" w:type="dxa"/>
            <w:shd w:val="clear" w:color="auto" w:fill="auto"/>
            <w:vAlign w:val="center"/>
          </w:tcPr>
          <w:p w14:paraId="6F2750AD" w14:textId="4DD6AC12" w:rsidR="00D02B2C" w:rsidRPr="00912E9B" w:rsidRDefault="00D02B2C" w:rsidP="00D02B2C">
            <w:pPr>
              <w:pStyle w:val="CERLEVEL4"/>
              <w:keepNext w:val="0"/>
              <w:numPr>
                <w:ilvl w:val="0"/>
                <w:numId w:val="0"/>
              </w:numPr>
              <w:ind w:left="36" w:hanging="36"/>
              <w:jc w:val="left"/>
              <w:rPr>
                <w:rFonts w:asciiTheme="majorHAnsi" w:hAnsiTheme="majorHAnsi" w:cstheme="majorHAnsi"/>
              </w:rPr>
            </w:pPr>
            <w:bookmarkStart w:id="4" w:name="_Ref454874589"/>
            <w:r w:rsidRPr="00912E9B">
              <w:rPr>
                <w:rFonts w:asciiTheme="majorHAnsi" w:hAnsiTheme="majorHAnsi" w:cstheme="majorHAnsi"/>
              </w:rPr>
              <w:t>means an application to resign in writing by the Exchange Member if ALPEX is satisfied that the relevant Exchange Member has complied (or will comply by the time the resignation takes effect</w:t>
            </w:r>
            <w:bookmarkEnd w:id="4"/>
            <w:r w:rsidRPr="00912E9B">
              <w:rPr>
                <w:rFonts w:asciiTheme="majorHAnsi" w:hAnsiTheme="majorHAnsi" w:cstheme="majorHAnsi"/>
              </w:rPr>
              <w:t>).</w:t>
            </w:r>
          </w:p>
        </w:tc>
      </w:tr>
    </w:tbl>
    <w:p w14:paraId="103864B1" w14:textId="77777777" w:rsidR="00E560DF" w:rsidRPr="00912E9B" w:rsidRDefault="00E560DF">
      <w:pPr>
        <w:rPr>
          <w:rFonts w:asciiTheme="majorHAnsi" w:hAnsiTheme="majorHAnsi" w:cstheme="majorHAnsi"/>
          <w:b/>
          <w:sz w:val="22"/>
          <w:szCs w:val="22"/>
        </w:rPr>
      </w:pPr>
    </w:p>
    <w:p w14:paraId="5E7BA47A" w14:textId="77777777" w:rsidR="00E560DF" w:rsidRPr="00912E9B" w:rsidRDefault="00E560DF" w:rsidP="005D5C4B">
      <w:pPr>
        <w:pStyle w:val="CERLEVEL1"/>
        <w:numPr>
          <w:ilvl w:val="0"/>
          <w:numId w:val="0"/>
        </w:numPr>
        <w:rPr>
          <w:rFonts w:asciiTheme="majorHAnsi" w:hAnsiTheme="majorHAnsi" w:cstheme="majorHAnsi"/>
          <w:sz w:val="22"/>
        </w:rPr>
      </w:pPr>
      <w:r w:rsidRPr="00912E9B">
        <w:rPr>
          <w:rFonts w:asciiTheme="majorHAnsi" w:hAnsiTheme="majorHAnsi" w:cstheme="majorHAnsi"/>
          <w:sz w:val="22"/>
        </w:rPr>
        <w:t>S</w:t>
      </w:r>
      <w:r w:rsidR="005D5C4B" w:rsidRPr="00912E9B">
        <w:rPr>
          <w:rFonts w:asciiTheme="majorHAnsi" w:hAnsiTheme="majorHAnsi" w:cstheme="majorHAnsi"/>
          <w:sz w:val="22"/>
        </w:rPr>
        <w:t xml:space="preserve"> </w:t>
      </w:r>
      <w:r w:rsidR="005D5C4B" w:rsidRPr="00912E9B">
        <w:rPr>
          <w:rFonts w:asciiTheme="majorHAnsi" w:hAnsiTheme="majorHAnsi" w:cstheme="majorHAnsi"/>
          <w:caps w:val="0"/>
          <w:sz w:val="22"/>
        </w:rPr>
        <w:t>to</w:t>
      </w:r>
      <w:r w:rsidR="005D5C4B" w:rsidRPr="00912E9B">
        <w:rPr>
          <w:rFonts w:asciiTheme="majorHAnsi" w:hAnsiTheme="majorHAnsi" w:cstheme="majorHAnsi"/>
          <w:sz w:val="22"/>
        </w:rPr>
        <w:t xml:space="preserve"> Z</w:t>
      </w:r>
    </w:p>
    <w:tbl>
      <w:tblPr>
        <w:tblW w:w="9386" w:type="dxa"/>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98"/>
        <w:gridCol w:w="7088"/>
      </w:tblGrid>
      <w:tr w:rsidR="00912E9B" w:rsidRPr="00912E9B" w14:paraId="76405D5B"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E313745" w14:textId="54F02D10" w:rsidR="008C4028" w:rsidRPr="00912E9B" w:rsidRDefault="008C4028" w:rsidP="008C4028">
            <w:pPr>
              <w:pStyle w:val="CERGlossaryTerm"/>
              <w:rPr>
                <w:rFonts w:asciiTheme="majorHAnsi" w:hAnsiTheme="majorHAnsi" w:cstheme="majorHAnsi"/>
                <w:sz w:val="22"/>
                <w:szCs w:val="22"/>
              </w:rPr>
            </w:pPr>
            <w:r w:rsidRPr="00912E9B">
              <w:rPr>
                <w:rFonts w:asciiTheme="minorHAnsi" w:hAnsiTheme="minorHAnsi" w:cstheme="minorHAnsi"/>
                <w:sz w:val="22"/>
                <w:szCs w:val="22"/>
              </w:rPr>
              <w:t>SDAC</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1222709" w14:textId="1CFDA577" w:rsidR="008C4028" w:rsidRPr="00912E9B" w:rsidRDefault="008C4028"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Single Day-Ahead Coupling.</w:t>
            </w:r>
          </w:p>
        </w:tc>
      </w:tr>
      <w:tr w:rsidR="00912E9B" w:rsidRPr="00912E9B" w14:paraId="195BCEB0"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8813AAC" w14:textId="7DB848D7" w:rsidR="008C4028" w:rsidRPr="00912E9B" w:rsidRDefault="008C4028" w:rsidP="008C4028">
            <w:pPr>
              <w:pStyle w:val="CERGlossaryTerm"/>
              <w:rPr>
                <w:rFonts w:asciiTheme="majorHAnsi" w:hAnsiTheme="majorHAnsi" w:cstheme="majorHAnsi"/>
                <w:sz w:val="22"/>
                <w:szCs w:val="22"/>
              </w:rPr>
            </w:pPr>
            <w:r w:rsidRPr="00912E9B">
              <w:rPr>
                <w:rFonts w:asciiTheme="majorHAnsi" w:hAnsiTheme="majorHAnsi" w:cstheme="majorHAnsi"/>
                <w:sz w:val="22"/>
                <w:szCs w:val="22"/>
              </w:rPr>
              <w:t>Second Auction Maximum Price Threshold</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30B48B96" w14:textId="2D59EAAB" w:rsidR="008C4028" w:rsidRPr="00912E9B" w:rsidRDefault="00896C0D"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The maximum Clearing Price accepted in respect of a Day-Ahead and Intraday Auction.</w:t>
            </w:r>
          </w:p>
        </w:tc>
      </w:tr>
      <w:tr w:rsidR="00912E9B" w:rsidRPr="00912E9B" w14:paraId="18615DA8"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611B5F1" w14:textId="5F8A5C02" w:rsidR="008C4028" w:rsidRPr="00912E9B" w:rsidRDefault="008C4028" w:rsidP="008C4028">
            <w:pPr>
              <w:pStyle w:val="CERGlossaryTerm"/>
              <w:rPr>
                <w:rFonts w:asciiTheme="majorHAnsi" w:hAnsiTheme="majorHAnsi" w:cstheme="majorHAnsi"/>
                <w:sz w:val="22"/>
                <w:szCs w:val="22"/>
              </w:rPr>
            </w:pPr>
            <w:r w:rsidRPr="00912E9B">
              <w:rPr>
                <w:rFonts w:asciiTheme="majorHAnsi" w:hAnsiTheme="majorHAnsi" w:cstheme="majorHAnsi"/>
                <w:sz w:val="22"/>
                <w:szCs w:val="22"/>
              </w:rPr>
              <w:t xml:space="preserve">Second </w:t>
            </w:r>
            <w:r w:rsidR="00896C0D" w:rsidRPr="00912E9B">
              <w:rPr>
                <w:rFonts w:asciiTheme="majorHAnsi" w:hAnsiTheme="majorHAnsi" w:cstheme="majorHAnsi"/>
                <w:sz w:val="22"/>
                <w:szCs w:val="22"/>
              </w:rPr>
              <w:t>Auction Minimum</w:t>
            </w:r>
            <w:r w:rsidRPr="00912E9B">
              <w:rPr>
                <w:rFonts w:asciiTheme="majorHAnsi" w:hAnsiTheme="majorHAnsi" w:cstheme="majorHAnsi"/>
                <w:sz w:val="22"/>
                <w:szCs w:val="22"/>
              </w:rPr>
              <w:t xml:space="preserve"> Price Threshold</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07DE25A" w14:textId="712BF148" w:rsidR="008C4028" w:rsidRPr="00912E9B" w:rsidRDefault="00896C0D"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The minimum Clearing Price accepted in respect of a Day-Ahead and Intraday Auction.</w:t>
            </w:r>
          </w:p>
        </w:tc>
      </w:tr>
      <w:tr w:rsidR="00912E9B" w:rsidRPr="00912E9B" w14:paraId="05CD7EFF"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B0361EE" w14:textId="1702A49C" w:rsidR="008C4028" w:rsidRPr="00912E9B" w:rsidDel="00E31103" w:rsidRDefault="008C4028" w:rsidP="008C4028">
            <w:pPr>
              <w:pStyle w:val="CERGlossaryTerm"/>
              <w:rPr>
                <w:rFonts w:asciiTheme="majorHAnsi" w:hAnsiTheme="majorHAnsi" w:cstheme="majorHAnsi"/>
                <w:sz w:val="22"/>
                <w:szCs w:val="22"/>
              </w:rPr>
            </w:pPr>
            <w:r w:rsidRPr="00912E9B">
              <w:rPr>
                <w:rFonts w:asciiTheme="majorHAnsi" w:hAnsiTheme="majorHAnsi" w:cstheme="majorHAnsi"/>
                <w:sz w:val="22"/>
                <w:szCs w:val="22"/>
              </w:rPr>
              <w:t>SEE CAO</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2BD0D6CF" w14:textId="196224D9" w:rsidR="008C4028" w:rsidRPr="00912E9B" w:rsidDel="00E31103" w:rsidRDefault="008C4028"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Coordinated Auction Office in South-East Europe</w:t>
            </w:r>
          </w:p>
        </w:tc>
      </w:tr>
      <w:tr w:rsidR="00912E9B" w:rsidRPr="00912E9B" w14:paraId="1EFC15A6"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77F445D" w14:textId="3A87417D" w:rsidR="000E7428" w:rsidRPr="00912E9B" w:rsidRDefault="000E7428" w:rsidP="000E7428">
            <w:pPr>
              <w:pStyle w:val="CERGlossaryTerm"/>
              <w:rPr>
                <w:rFonts w:asciiTheme="minorHAnsi" w:hAnsiTheme="minorHAnsi" w:cstheme="minorHAnsi"/>
                <w:sz w:val="22"/>
                <w:szCs w:val="22"/>
              </w:rPr>
            </w:pPr>
            <w:r w:rsidRPr="00912E9B">
              <w:rPr>
                <w:rFonts w:asciiTheme="minorHAnsi" w:hAnsiTheme="minorHAnsi" w:cstheme="minorHAnsi"/>
                <w:sz w:val="22"/>
                <w:szCs w:val="22"/>
              </w:rPr>
              <w:t>Self-Billing Invoices</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586E6A97" w14:textId="514A5DEA" w:rsidR="000E7428" w:rsidRPr="00912E9B" w:rsidRDefault="000E7428"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 xml:space="preserve">means the invoice issued by ALPEX on behalf of Exchange Member which result from trades in ALPEX Markets </w:t>
            </w:r>
            <w:r w:rsidR="000903AE" w:rsidRPr="00912E9B">
              <w:rPr>
                <w:rFonts w:asciiTheme="minorHAnsi" w:hAnsiTheme="minorHAnsi" w:cstheme="minorHAnsi"/>
                <w:sz w:val="22"/>
                <w:szCs w:val="22"/>
              </w:rPr>
              <w:t>as a seller</w:t>
            </w:r>
            <w:r w:rsidRPr="00912E9B">
              <w:rPr>
                <w:rFonts w:asciiTheme="minorHAnsi" w:hAnsiTheme="minorHAnsi" w:cstheme="minorHAnsi"/>
                <w:sz w:val="22"/>
                <w:szCs w:val="22"/>
              </w:rPr>
              <w:t>.</w:t>
            </w:r>
          </w:p>
        </w:tc>
      </w:tr>
      <w:tr w:rsidR="00912E9B" w:rsidRPr="00912E9B" w14:paraId="56561042"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06E48D8" w14:textId="6B6C0D85" w:rsidR="000E7428" w:rsidRPr="00912E9B" w:rsidRDefault="000E7428" w:rsidP="000E7428">
            <w:pPr>
              <w:pStyle w:val="CERGlossaryTerm"/>
              <w:rPr>
                <w:rFonts w:asciiTheme="majorHAnsi" w:hAnsiTheme="majorHAnsi" w:cstheme="majorHAnsi"/>
                <w:sz w:val="22"/>
                <w:szCs w:val="22"/>
                <w:lang w:val="en-US"/>
              </w:rPr>
            </w:pPr>
            <w:r w:rsidRPr="00912E9B">
              <w:rPr>
                <w:rFonts w:asciiTheme="minorHAnsi" w:hAnsiTheme="minorHAnsi" w:cstheme="minorHAnsi"/>
                <w:sz w:val="22"/>
                <w:szCs w:val="22"/>
              </w:rPr>
              <w:t>Sell Block Order</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1ED43FE" w14:textId="2B4F98FC" w:rsidR="000E7428" w:rsidRPr="00912E9B" w:rsidRDefault="000E7428" w:rsidP="00D40051">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A Block Order to sell electricity.</w:t>
            </w:r>
          </w:p>
        </w:tc>
      </w:tr>
      <w:tr w:rsidR="00912E9B" w:rsidRPr="00912E9B" w14:paraId="4C9970D8"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467853D" w14:textId="1731C833" w:rsidR="000E7428" w:rsidRPr="00912E9B" w:rsidRDefault="000E7428" w:rsidP="000E7428">
            <w:pPr>
              <w:pStyle w:val="CERGlossaryTerm"/>
              <w:rPr>
                <w:rFonts w:asciiTheme="majorHAnsi" w:hAnsiTheme="majorHAnsi" w:cstheme="majorHAnsi"/>
                <w:sz w:val="22"/>
                <w:szCs w:val="22"/>
              </w:rPr>
            </w:pPr>
            <w:r w:rsidRPr="00912E9B">
              <w:rPr>
                <w:rFonts w:asciiTheme="majorHAnsi" w:hAnsiTheme="majorHAnsi" w:cstheme="majorHAnsi"/>
                <w:sz w:val="22"/>
                <w:szCs w:val="22"/>
                <w:lang w:val="en-US"/>
              </w:rPr>
              <w:t>Sell Order</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126F22DF" w14:textId="2D01C635" w:rsidR="000E7428" w:rsidRPr="00912E9B" w:rsidDel="00E31103" w:rsidRDefault="000E7428" w:rsidP="00D40051">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A declaration of sell intention entered by a Participant into the ETSS for conducting Trades in the </w:t>
            </w:r>
            <w:r w:rsidR="00B97482" w:rsidRPr="00912E9B">
              <w:rPr>
                <w:rFonts w:asciiTheme="majorHAnsi" w:hAnsiTheme="majorHAnsi" w:cstheme="majorHAnsi"/>
                <w:sz w:val="22"/>
                <w:szCs w:val="22"/>
              </w:rPr>
              <w:t xml:space="preserve">ALPEX </w:t>
            </w:r>
            <w:r w:rsidRPr="00912E9B">
              <w:rPr>
                <w:rFonts w:asciiTheme="majorHAnsi" w:hAnsiTheme="majorHAnsi" w:cstheme="majorHAnsi"/>
                <w:sz w:val="22"/>
                <w:szCs w:val="22"/>
              </w:rPr>
              <w:t>Markets in accordance with the specific provisions of these Rules.</w:t>
            </w:r>
          </w:p>
        </w:tc>
      </w:tr>
      <w:tr w:rsidR="00912E9B" w:rsidRPr="00912E9B" w14:paraId="0F823498" w14:textId="77777777" w:rsidTr="00D40051">
        <w:trPr>
          <w:cantSplit/>
        </w:trPr>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B547694" w14:textId="4F61736C" w:rsidR="00710928" w:rsidRPr="00912E9B" w:rsidRDefault="00710928" w:rsidP="00710928">
            <w:pPr>
              <w:pStyle w:val="CERGlossaryTerm"/>
              <w:rPr>
                <w:rFonts w:asciiTheme="majorHAnsi" w:hAnsiTheme="majorHAnsi" w:cstheme="majorHAnsi"/>
                <w:sz w:val="22"/>
                <w:szCs w:val="22"/>
                <w:lang w:val="en-US"/>
              </w:rPr>
            </w:pPr>
            <w:r w:rsidRPr="00912E9B">
              <w:rPr>
                <w:rFonts w:asciiTheme="majorHAnsi" w:hAnsiTheme="majorHAnsi" w:cstheme="majorHAnsi"/>
                <w:sz w:val="22"/>
                <w:szCs w:val="22"/>
              </w:rPr>
              <w:t>Settlement</w:t>
            </w:r>
          </w:p>
        </w:tc>
        <w:tc>
          <w:tcPr>
            <w:tcW w:w="7088" w:type="dxa"/>
            <w:tcBorders>
              <w:top w:val="single" w:sz="4" w:space="0" w:color="auto"/>
              <w:left w:val="single" w:sz="4" w:space="0" w:color="auto"/>
              <w:bottom w:val="single" w:sz="4" w:space="0" w:color="auto"/>
              <w:right w:val="single" w:sz="4" w:space="0" w:color="auto"/>
            </w:tcBorders>
            <w:shd w:val="clear" w:color="auto" w:fill="auto"/>
            <w:vAlign w:val="center"/>
          </w:tcPr>
          <w:p w14:paraId="6255C562" w14:textId="0FAD930E" w:rsidR="00090F25" w:rsidRPr="00912E9B" w:rsidRDefault="00090F25" w:rsidP="005026D3">
            <w:pPr>
              <w:pStyle w:val="CERGlossaryDefinition"/>
              <w:rPr>
                <w:rFonts w:asciiTheme="majorHAnsi" w:hAnsiTheme="majorHAnsi" w:cstheme="majorHAnsi"/>
                <w:sz w:val="22"/>
                <w:szCs w:val="22"/>
              </w:rPr>
            </w:pPr>
            <w:r w:rsidRPr="00912E9B">
              <w:rPr>
                <w:rFonts w:asciiTheme="minorHAnsi" w:hAnsiTheme="minorHAnsi" w:cstheme="minorHAnsi"/>
                <w:sz w:val="22"/>
                <w:szCs w:val="22"/>
              </w:rPr>
              <w:t xml:space="preserve">Means the process </w:t>
            </w:r>
            <w:r w:rsidR="0021058F" w:rsidRPr="00912E9B">
              <w:rPr>
                <w:rFonts w:asciiTheme="minorHAnsi" w:hAnsiTheme="minorHAnsi" w:cstheme="minorHAnsi"/>
                <w:sz w:val="22"/>
                <w:szCs w:val="22"/>
              </w:rPr>
              <w:t xml:space="preserve">to be carried out </w:t>
            </w:r>
            <w:r w:rsidR="0039787B" w:rsidRPr="00912E9B">
              <w:rPr>
                <w:rFonts w:asciiTheme="minorHAnsi" w:hAnsiTheme="minorHAnsi" w:cstheme="minorHAnsi"/>
                <w:sz w:val="22"/>
                <w:szCs w:val="22"/>
              </w:rPr>
              <w:t>between ALPEX and Clearing Members</w:t>
            </w:r>
            <w:r w:rsidR="0021058F" w:rsidRPr="00912E9B">
              <w:rPr>
                <w:rFonts w:asciiTheme="minorHAnsi" w:hAnsiTheme="minorHAnsi" w:cstheme="minorHAnsi"/>
                <w:sz w:val="22"/>
                <w:szCs w:val="22"/>
              </w:rPr>
              <w:t xml:space="preserve"> through </w:t>
            </w:r>
            <w:r w:rsidRPr="00912E9B">
              <w:rPr>
                <w:rFonts w:asciiTheme="minorHAnsi" w:hAnsiTheme="minorHAnsi" w:cstheme="minorHAnsi"/>
                <w:sz w:val="22"/>
                <w:szCs w:val="22"/>
              </w:rPr>
              <w:t>which ALPEX handles</w:t>
            </w:r>
            <w:r w:rsidR="004A39A1" w:rsidRPr="00912E9B">
              <w:rPr>
                <w:rFonts w:asciiTheme="minorHAnsi" w:hAnsiTheme="minorHAnsi" w:cstheme="minorHAnsi"/>
                <w:sz w:val="22"/>
                <w:szCs w:val="22"/>
              </w:rPr>
              <w:t xml:space="preserve"> cash transactions </w:t>
            </w:r>
            <w:r w:rsidR="0021058F" w:rsidRPr="00912E9B">
              <w:rPr>
                <w:rFonts w:asciiTheme="minorHAnsi" w:hAnsiTheme="minorHAnsi" w:cstheme="minorHAnsi"/>
                <w:sz w:val="22"/>
                <w:szCs w:val="22"/>
              </w:rPr>
              <w:t xml:space="preserve">for </w:t>
            </w:r>
            <w:r w:rsidRPr="00912E9B">
              <w:rPr>
                <w:rFonts w:asciiTheme="minorHAnsi" w:hAnsiTheme="minorHAnsi" w:cstheme="minorHAnsi"/>
                <w:sz w:val="22"/>
                <w:szCs w:val="22"/>
              </w:rPr>
              <w:t>Transactions</w:t>
            </w:r>
            <w:r w:rsidR="0021058F" w:rsidRPr="00912E9B">
              <w:rPr>
                <w:rFonts w:asciiTheme="minorHAnsi" w:hAnsiTheme="minorHAnsi" w:cstheme="minorHAnsi"/>
                <w:sz w:val="22"/>
                <w:szCs w:val="22"/>
              </w:rPr>
              <w:t xml:space="preserve"> conducted</w:t>
            </w:r>
            <w:r w:rsidRPr="00912E9B">
              <w:rPr>
                <w:rFonts w:asciiTheme="minorHAnsi" w:hAnsiTheme="minorHAnsi" w:cstheme="minorHAnsi"/>
                <w:sz w:val="22"/>
                <w:szCs w:val="22"/>
              </w:rPr>
              <w:t xml:space="preserve"> in ALPEX Markets</w:t>
            </w:r>
            <w:r w:rsidR="00530266" w:rsidRPr="00912E9B">
              <w:rPr>
                <w:rFonts w:asciiTheme="minorHAnsi" w:hAnsiTheme="minorHAnsi" w:cstheme="minorHAnsi"/>
                <w:sz w:val="22"/>
                <w:szCs w:val="22"/>
              </w:rPr>
              <w:t>.</w:t>
            </w:r>
          </w:p>
        </w:tc>
      </w:tr>
      <w:tr w:rsidR="00912E9B" w:rsidRPr="00912E9B" w14:paraId="341A8DFA" w14:textId="77777777" w:rsidTr="00D40051">
        <w:trPr>
          <w:cantSplit/>
        </w:trPr>
        <w:tc>
          <w:tcPr>
            <w:tcW w:w="2298" w:type="dxa"/>
            <w:shd w:val="clear" w:color="auto" w:fill="auto"/>
            <w:vAlign w:val="center"/>
          </w:tcPr>
          <w:p w14:paraId="7E947EAA" w14:textId="45884E69" w:rsidR="00710928" w:rsidRPr="00912E9B" w:rsidRDefault="00710928" w:rsidP="00710928">
            <w:pPr>
              <w:pStyle w:val="CERGlossaryTerm"/>
              <w:rPr>
                <w:rFonts w:asciiTheme="minorHAnsi" w:hAnsiTheme="minorHAnsi" w:cstheme="minorHAnsi"/>
                <w:sz w:val="22"/>
                <w:szCs w:val="22"/>
              </w:rPr>
            </w:pPr>
            <w:r w:rsidRPr="00912E9B">
              <w:rPr>
                <w:rFonts w:asciiTheme="minorHAnsi" w:hAnsiTheme="minorHAnsi" w:cstheme="minorHAnsi"/>
                <w:sz w:val="22"/>
                <w:szCs w:val="22"/>
              </w:rPr>
              <w:t>Settlement Bank</w:t>
            </w:r>
          </w:p>
        </w:tc>
        <w:tc>
          <w:tcPr>
            <w:tcW w:w="7088" w:type="dxa"/>
            <w:shd w:val="clear" w:color="auto" w:fill="auto"/>
            <w:vAlign w:val="center"/>
          </w:tcPr>
          <w:p w14:paraId="03E288CB" w14:textId="42499C1E" w:rsidR="008C126E" w:rsidRPr="00912E9B" w:rsidRDefault="008C126E" w:rsidP="00D40051">
            <w:pPr>
              <w:pStyle w:val="CERGlossaryDefinition"/>
              <w:jc w:val="left"/>
              <w:rPr>
                <w:rFonts w:asciiTheme="minorHAnsi" w:hAnsiTheme="minorHAnsi" w:cstheme="minorHAnsi"/>
                <w:sz w:val="22"/>
                <w:szCs w:val="22"/>
              </w:rPr>
            </w:pPr>
          </w:p>
          <w:p w14:paraId="76510218" w14:textId="6A3EF065" w:rsidR="00D21D74" w:rsidRPr="00912E9B" w:rsidRDefault="00D21D74" w:rsidP="00906923">
            <w:pPr>
              <w:pStyle w:val="CERGlossaryDefinition"/>
              <w:rPr>
                <w:rFonts w:asciiTheme="minorHAnsi" w:hAnsiTheme="minorHAnsi" w:cstheme="minorHAnsi"/>
                <w:sz w:val="22"/>
                <w:szCs w:val="22"/>
              </w:rPr>
            </w:pPr>
            <w:r w:rsidRPr="00912E9B">
              <w:rPr>
                <w:rFonts w:asciiTheme="minorHAnsi" w:hAnsiTheme="minorHAnsi" w:cstheme="minorHAnsi"/>
                <w:sz w:val="22"/>
                <w:szCs w:val="22"/>
              </w:rPr>
              <w:t>means a Commercial Bank, through which the Cash Settlement of Transactions cleared by ALPEX in accordance with the terms of Clearing and Settlement Procedures.</w:t>
            </w:r>
          </w:p>
          <w:p w14:paraId="21CC425C" w14:textId="7EEA1C5A" w:rsidR="00D21D74" w:rsidRPr="00912E9B" w:rsidRDefault="00D21D74" w:rsidP="00D40051">
            <w:pPr>
              <w:pStyle w:val="CERGlossaryDefinition"/>
              <w:jc w:val="left"/>
              <w:rPr>
                <w:rFonts w:asciiTheme="minorHAnsi" w:hAnsiTheme="minorHAnsi" w:cstheme="minorHAnsi"/>
                <w:sz w:val="22"/>
                <w:szCs w:val="22"/>
              </w:rPr>
            </w:pPr>
          </w:p>
        </w:tc>
      </w:tr>
      <w:tr w:rsidR="00912E9B" w:rsidRPr="00912E9B" w14:paraId="598E68D6" w14:textId="77777777" w:rsidTr="00D40051">
        <w:trPr>
          <w:cantSplit/>
        </w:trPr>
        <w:tc>
          <w:tcPr>
            <w:tcW w:w="2298" w:type="dxa"/>
            <w:shd w:val="clear" w:color="auto" w:fill="auto"/>
            <w:vAlign w:val="center"/>
          </w:tcPr>
          <w:p w14:paraId="4B0CC9D0" w14:textId="03646120" w:rsidR="00710928" w:rsidRPr="00912E9B" w:rsidRDefault="00710928" w:rsidP="00710928">
            <w:pPr>
              <w:pStyle w:val="CERGlossaryTerm"/>
              <w:rPr>
                <w:rFonts w:asciiTheme="minorHAnsi" w:hAnsiTheme="minorHAnsi" w:cstheme="minorHAnsi"/>
                <w:sz w:val="22"/>
                <w:szCs w:val="22"/>
              </w:rPr>
            </w:pPr>
            <w:r w:rsidRPr="00912E9B">
              <w:rPr>
                <w:rFonts w:asciiTheme="minorHAnsi" w:hAnsiTheme="minorHAnsi" w:cstheme="minorHAnsi"/>
                <w:sz w:val="22"/>
                <w:szCs w:val="22"/>
              </w:rPr>
              <w:t>Settlement Calendar</w:t>
            </w:r>
          </w:p>
        </w:tc>
        <w:tc>
          <w:tcPr>
            <w:tcW w:w="7088" w:type="dxa"/>
            <w:shd w:val="clear" w:color="auto" w:fill="auto"/>
            <w:vAlign w:val="center"/>
          </w:tcPr>
          <w:p w14:paraId="44A7199D" w14:textId="4F680946" w:rsidR="00710928" w:rsidRPr="00912E9B" w:rsidRDefault="00710928" w:rsidP="00D40051">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 xml:space="preserve">means a calendar for Settlement </w:t>
            </w:r>
            <w:r w:rsidR="00CC134B" w:rsidRPr="00912E9B">
              <w:rPr>
                <w:rFonts w:asciiTheme="minorHAnsi" w:hAnsiTheme="minorHAnsi" w:cstheme="minorHAnsi"/>
                <w:sz w:val="22"/>
                <w:szCs w:val="22"/>
              </w:rPr>
              <w:t xml:space="preserve">of the </w:t>
            </w:r>
            <w:r w:rsidR="009F61F3" w:rsidRPr="00912E9B">
              <w:rPr>
                <w:rFonts w:asciiTheme="minorHAnsi" w:hAnsiTheme="minorHAnsi" w:cstheme="minorHAnsi"/>
                <w:sz w:val="22"/>
                <w:szCs w:val="22"/>
              </w:rPr>
              <w:t>T</w:t>
            </w:r>
            <w:r w:rsidR="00CC134B" w:rsidRPr="00912E9B">
              <w:rPr>
                <w:rFonts w:asciiTheme="minorHAnsi" w:hAnsiTheme="minorHAnsi" w:cstheme="minorHAnsi"/>
                <w:sz w:val="22"/>
                <w:szCs w:val="22"/>
              </w:rPr>
              <w:t>ransactions</w:t>
            </w:r>
            <w:r w:rsidR="009F61F3" w:rsidRPr="00912E9B">
              <w:rPr>
                <w:rFonts w:asciiTheme="minorHAnsi" w:hAnsiTheme="minorHAnsi" w:cstheme="minorHAnsi"/>
                <w:sz w:val="22"/>
                <w:szCs w:val="22"/>
              </w:rPr>
              <w:t xml:space="preserve"> </w:t>
            </w:r>
            <w:r w:rsidRPr="00912E9B">
              <w:rPr>
                <w:rFonts w:asciiTheme="minorHAnsi" w:hAnsiTheme="minorHAnsi" w:cstheme="minorHAnsi"/>
                <w:sz w:val="22"/>
                <w:szCs w:val="22"/>
              </w:rPr>
              <w:t xml:space="preserve">published </w:t>
            </w:r>
            <w:r w:rsidR="009F61F3" w:rsidRPr="00912E9B">
              <w:rPr>
                <w:rFonts w:asciiTheme="minorHAnsi" w:hAnsiTheme="minorHAnsi" w:cstheme="minorHAnsi"/>
                <w:sz w:val="22"/>
                <w:szCs w:val="22"/>
              </w:rPr>
              <w:t>by ALPEX</w:t>
            </w:r>
          </w:p>
        </w:tc>
      </w:tr>
      <w:tr w:rsidR="00912E9B" w:rsidRPr="00912E9B" w14:paraId="4819AF9E" w14:textId="77777777" w:rsidTr="00D40051">
        <w:trPr>
          <w:cantSplit/>
        </w:trPr>
        <w:tc>
          <w:tcPr>
            <w:tcW w:w="2298" w:type="dxa"/>
            <w:shd w:val="clear" w:color="auto" w:fill="auto"/>
            <w:vAlign w:val="center"/>
          </w:tcPr>
          <w:p w14:paraId="598EC9A6" w14:textId="475336FC" w:rsidR="00710928" w:rsidRPr="00912E9B" w:rsidRDefault="00710928" w:rsidP="00710928">
            <w:pPr>
              <w:pStyle w:val="CERGlossaryTerm"/>
              <w:rPr>
                <w:rFonts w:asciiTheme="minorHAnsi" w:hAnsiTheme="minorHAnsi" w:cstheme="minorHAnsi"/>
                <w:sz w:val="22"/>
                <w:szCs w:val="22"/>
              </w:rPr>
            </w:pPr>
            <w:r w:rsidRPr="00912E9B">
              <w:rPr>
                <w:rFonts w:asciiTheme="minorHAnsi" w:hAnsiTheme="minorHAnsi" w:cstheme="minorHAnsi"/>
                <w:sz w:val="22"/>
                <w:szCs w:val="22"/>
              </w:rPr>
              <w:t>Settlement Day</w:t>
            </w:r>
          </w:p>
        </w:tc>
        <w:tc>
          <w:tcPr>
            <w:tcW w:w="7088" w:type="dxa"/>
            <w:shd w:val="clear" w:color="auto" w:fill="auto"/>
            <w:vAlign w:val="center"/>
          </w:tcPr>
          <w:p w14:paraId="190FEF2C" w14:textId="069DD050" w:rsidR="001930EF" w:rsidRPr="00912E9B" w:rsidRDefault="001930EF" w:rsidP="001930EF">
            <w:pPr>
              <w:pStyle w:val="CERGlossaryDefinition"/>
              <w:jc w:val="left"/>
              <w:rPr>
                <w:rFonts w:asciiTheme="minorHAnsi" w:hAnsiTheme="minorHAnsi" w:cstheme="minorHAnsi"/>
                <w:sz w:val="22"/>
                <w:szCs w:val="22"/>
              </w:rPr>
            </w:pPr>
          </w:p>
          <w:p w14:paraId="4435FB1F" w14:textId="2B8E78F8" w:rsidR="001930EF" w:rsidRPr="00912E9B" w:rsidRDefault="001930EF" w:rsidP="001930EF">
            <w:pPr>
              <w:pStyle w:val="CERGlossaryDefinition"/>
            </w:pPr>
            <w:r w:rsidRPr="00912E9B">
              <w:t>means Banking Day(s) when the relevant Settlement shall take place.</w:t>
            </w:r>
          </w:p>
          <w:p w14:paraId="55DADB3E" w14:textId="3FFE47A9" w:rsidR="001930EF" w:rsidRPr="00912E9B" w:rsidRDefault="001930EF" w:rsidP="001930EF">
            <w:pPr>
              <w:pStyle w:val="CERGlossaryDefinition"/>
              <w:jc w:val="left"/>
              <w:rPr>
                <w:rFonts w:asciiTheme="minorHAnsi" w:hAnsiTheme="minorHAnsi" w:cstheme="minorHAnsi"/>
                <w:sz w:val="22"/>
                <w:szCs w:val="22"/>
              </w:rPr>
            </w:pPr>
          </w:p>
        </w:tc>
      </w:tr>
      <w:tr w:rsidR="00912E9B" w:rsidRPr="00912E9B" w14:paraId="267A21C2" w14:textId="77777777" w:rsidTr="00906923">
        <w:trPr>
          <w:cantSplit/>
        </w:trPr>
        <w:tc>
          <w:tcPr>
            <w:tcW w:w="2298" w:type="dxa"/>
            <w:shd w:val="clear" w:color="auto" w:fill="auto"/>
            <w:vAlign w:val="center"/>
          </w:tcPr>
          <w:p w14:paraId="43606CBA" w14:textId="126D26BA" w:rsidR="00465C12" w:rsidRPr="00912E9B" w:rsidRDefault="00465C12" w:rsidP="00465C12">
            <w:pPr>
              <w:pStyle w:val="CERGlossaryTerm"/>
              <w:rPr>
                <w:rFonts w:asciiTheme="minorHAnsi" w:hAnsiTheme="minorHAnsi" w:cstheme="minorHAnsi"/>
                <w:sz w:val="22"/>
                <w:szCs w:val="22"/>
              </w:rPr>
            </w:pPr>
            <w:r w:rsidRPr="00912E9B">
              <w:rPr>
                <w:rFonts w:asciiTheme="minorHAnsi" w:eastAsiaTheme="minorEastAsia" w:hAnsiTheme="minorHAnsi" w:cstheme="minorHAnsi"/>
                <w:sz w:val="22"/>
                <w:szCs w:val="22"/>
              </w:rPr>
              <w:t>Settlement Transaction</w:t>
            </w:r>
          </w:p>
        </w:tc>
        <w:tc>
          <w:tcPr>
            <w:tcW w:w="7088" w:type="dxa"/>
            <w:shd w:val="clear" w:color="auto" w:fill="auto"/>
          </w:tcPr>
          <w:p w14:paraId="6537FE06" w14:textId="33C5DA08" w:rsidR="00465C12" w:rsidRPr="00912E9B" w:rsidDel="001930EF" w:rsidRDefault="00465C12" w:rsidP="00912E9B">
            <w:pPr>
              <w:pStyle w:val="CERGlossaryDefinition"/>
              <w:rPr>
                <w:rFonts w:asciiTheme="minorHAnsi" w:hAnsiTheme="minorHAnsi" w:cstheme="minorHAnsi"/>
                <w:sz w:val="22"/>
                <w:szCs w:val="22"/>
              </w:rPr>
            </w:pPr>
            <w:r w:rsidRPr="00912E9B">
              <w:rPr>
                <w:rFonts w:asciiTheme="minorHAnsi" w:hAnsiTheme="minorHAnsi" w:cstheme="minorHAnsi"/>
                <w:sz w:val="22"/>
                <w:szCs w:val="22"/>
              </w:rPr>
              <w:t xml:space="preserve">Means the process of moving </w:t>
            </w:r>
            <w:r w:rsidR="00A24637" w:rsidRPr="00912E9B">
              <w:rPr>
                <w:rFonts w:asciiTheme="minorHAnsi" w:hAnsiTheme="minorHAnsi" w:cstheme="minorHAnsi"/>
                <w:sz w:val="22"/>
                <w:szCs w:val="22"/>
              </w:rPr>
              <w:t>monet</w:t>
            </w:r>
            <w:r w:rsidR="007E66E9" w:rsidRPr="00912E9B">
              <w:rPr>
                <w:rFonts w:asciiTheme="minorHAnsi" w:hAnsiTheme="minorHAnsi" w:cstheme="minorHAnsi"/>
                <w:sz w:val="22"/>
                <w:szCs w:val="22"/>
              </w:rPr>
              <w:t xml:space="preserve">ary </w:t>
            </w:r>
            <w:r w:rsidRPr="00912E9B">
              <w:rPr>
                <w:rFonts w:asciiTheme="minorHAnsi" w:hAnsiTheme="minorHAnsi" w:cstheme="minorHAnsi"/>
                <w:sz w:val="22"/>
                <w:szCs w:val="22"/>
              </w:rPr>
              <w:t>funds between the</w:t>
            </w:r>
            <w:r w:rsidR="007E66E9" w:rsidRPr="00912E9B">
              <w:rPr>
                <w:rFonts w:asciiTheme="minorHAnsi" w:hAnsiTheme="minorHAnsi" w:cstheme="minorHAnsi"/>
                <w:sz w:val="22"/>
                <w:szCs w:val="22"/>
              </w:rPr>
              <w:t xml:space="preserve"> bank account</w:t>
            </w:r>
            <w:r w:rsidRPr="00912E9B">
              <w:rPr>
                <w:rFonts w:asciiTheme="minorHAnsi" w:hAnsiTheme="minorHAnsi" w:cstheme="minorHAnsi"/>
                <w:sz w:val="22"/>
                <w:szCs w:val="22"/>
              </w:rPr>
              <w:t xml:space="preserve"> parties that participate in the settlement of the transactions</w:t>
            </w:r>
            <w:r w:rsidR="00F06ADE" w:rsidRPr="00912E9B">
              <w:rPr>
                <w:rFonts w:asciiTheme="minorHAnsi" w:hAnsiTheme="minorHAnsi" w:cstheme="minorHAnsi"/>
                <w:sz w:val="22"/>
                <w:szCs w:val="22"/>
              </w:rPr>
              <w:t>,</w:t>
            </w:r>
            <w:r w:rsidRPr="00912E9B">
              <w:rPr>
                <w:rFonts w:asciiTheme="minorHAnsi" w:hAnsiTheme="minorHAnsi" w:cstheme="minorHAnsi"/>
                <w:sz w:val="22"/>
                <w:szCs w:val="22"/>
              </w:rPr>
              <w:t xml:space="preserve"> has the meaning given in section G.3.4.</w:t>
            </w:r>
          </w:p>
        </w:tc>
      </w:tr>
      <w:tr w:rsidR="00912E9B" w:rsidRPr="00912E9B" w14:paraId="65BB876C" w14:textId="77777777" w:rsidTr="00D40051">
        <w:trPr>
          <w:cantSplit/>
        </w:trPr>
        <w:tc>
          <w:tcPr>
            <w:tcW w:w="2298" w:type="dxa"/>
            <w:shd w:val="clear" w:color="auto" w:fill="auto"/>
            <w:vAlign w:val="center"/>
          </w:tcPr>
          <w:p w14:paraId="2B06AC2E" w14:textId="2683AE34" w:rsidR="00465C12" w:rsidRPr="00912E9B" w:rsidRDefault="00465C12" w:rsidP="00465C12">
            <w:pPr>
              <w:pStyle w:val="CERGlossaryTerm"/>
              <w:rPr>
                <w:rFonts w:asciiTheme="minorHAnsi" w:hAnsiTheme="minorHAnsi" w:cstheme="minorHAnsi"/>
                <w:sz w:val="22"/>
                <w:szCs w:val="22"/>
              </w:rPr>
            </w:pPr>
            <w:r w:rsidRPr="00912E9B">
              <w:rPr>
                <w:rFonts w:asciiTheme="minorHAnsi" w:eastAsiaTheme="minorEastAsia" w:hAnsiTheme="minorHAnsi" w:cstheme="minorHAnsi"/>
                <w:sz w:val="22"/>
                <w:szCs w:val="22"/>
              </w:rPr>
              <w:t>Share Account</w:t>
            </w:r>
          </w:p>
        </w:tc>
        <w:tc>
          <w:tcPr>
            <w:tcW w:w="7088" w:type="dxa"/>
            <w:shd w:val="clear" w:color="auto" w:fill="auto"/>
            <w:vAlign w:val="center"/>
          </w:tcPr>
          <w:p w14:paraId="3A08268B" w14:textId="24BEC740"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In reference to respective Clearing Member means the cash amount deposits from the latter into Default Fund account.</w:t>
            </w:r>
          </w:p>
        </w:tc>
      </w:tr>
      <w:tr w:rsidR="00912E9B" w:rsidRPr="00912E9B" w14:paraId="2A761DB6" w14:textId="77777777" w:rsidTr="00D40051">
        <w:trPr>
          <w:cantSplit/>
        </w:trPr>
        <w:tc>
          <w:tcPr>
            <w:tcW w:w="2298" w:type="dxa"/>
            <w:shd w:val="clear" w:color="auto" w:fill="auto"/>
          </w:tcPr>
          <w:p w14:paraId="6965CA62" w14:textId="6B201147" w:rsidR="00465C12" w:rsidRPr="00912E9B" w:rsidRDefault="00465C12" w:rsidP="00465C12">
            <w:pPr>
              <w:pStyle w:val="CERGlossaryTerm"/>
              <w:rPr>
                <w:rFonts w:asciiTheme="minorHAnsi" w:hAnsiTheme="minorHAnsi" w:cstheme="minorHAnsi"/>
                <w:sz w:val="22"/>
                <w:szCs w:val="22"/>
              </w:rPr>
            </w:pPr>
            <w:r w:rsidRPr="00912E9B">
              <w:rPr>
                <w:rFonts w:asciiTheme="minorHAnsi" w:hAnsiTheme="minorHAnsi" w:cstheme="minorHAnsi"/>
                <w:sz w:val="22"/>
                <w:szCs w:val="22"/>
              </w:rPr>
              <w:lastRenderedPageBreak/>
              <w:t>Shared Order Book (SOB)</w:t>
            </w:r>
          </w:p>
        </w:tc>
        <w:tc>
          <w:tcPr>
            <w:tcW w:w="7088" w:type="dxa"/>
            <w:shd w:val="clear" w:color="auto" w:fill="auto"/>
            <w:vAlign w:val="center"/>
          </w:tcPr>
          <w:p w14:paraId="0111FF27" w14:textId="4843C4DB"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 xml:space="preserve">means a module in the Continuous Intraday Trading Coupling System collecting all matchable Orders from the NEMOs participating in Single Intraday Coupling and performing continuous matching of those Orders. </w:t>
            </w:r>
          </w:p>
        </w:tc>
      </w:tr>
      <w:tr w:rsidR="00912E9B" w:rsidRPr="00912E9B" w14:paraId="0A177AD2" w14:textId="77777777" w:rsidTr="00D40051">
        <w:trPr>
          <w:cantSplit/>
        </w:trPr>
        <w:tc>
          <w:tcPr>
            <w:tcW w:w="2298" w:type="dxa"/>
            <w:shd w:val="clear" w:color="auto" w:fill="auto"/>
            <w:vAlign w:val="center"/>
          </w:tcPr>
          <w:p w14:paraId="44A106DD" w14:textId="3974C94D" w:rsidR="00465C12" w:rsidRPr="00912E9B" w:rsidRDefault="00465C12" w:rsidP="00465C12">
            <w:pPr>
              <w:pStyle w:val="CERGlossaryTerm"/>
              <w:rPr>
                <w:rFonts w:asciiTheme="minorHAnsi" w:hAnsiTheme="minorHAnsi" w:cstheme="minorHAnsi"/>
                <w:sz w:val="22"/>
                <w:szCs w:val="22"/>
              </w:rPr>
            </w:pPr>
            <w:r w:rsidRPr="00912E9B">
              <w:rPr>
                <w:rFonts w:asciiTheme="minorHAnsi" w:hAnsiTheme="minorHAnsi" w:cstheme="minorHAnsi"/>
                <w:sz w:val="22"/>
                <w:szCs w:val="22"/>
              </w:rPr>
              <w:t>Shipping Agent</w:t>
            </w:r>
          </w:p>
        </w:tc>
        <w:tc>
          <w:tcPr>
            <w:tcW w:w="7088" w:type="dxa"/>
            <w:shd w:val="clear" w:color="auto" w:fill="auto"/>
            <w:vAlign w:val="center"/>
          </w:tcPr>
          <w:p w14:paraId="70911D21" w14:textId="484A2DF6" w:rsidR="00465C12" w:rsidRPr="00912E9B" w:rsidRDefault="0007742C" w:rsidP="00465C12">
            <w:pPr>
              <w:pStyle w:val="CERGlossaryDefinition"/>
              <w:tabs>
                <w:tab w:val="clear" w:pos="851"/>
              </w:tabs>
              <w:ind w:left="32"/>
              <w:jc w:val="left"/>
              <w:rPr>
                <w:rFonts w:asciiTheme="minorHAnsi" w:hAnsiTheme="minorHAnsi" w:cstheme="minorHAnsi"/>
                <w:sz w:val="22"/>
                <w:szCs w:val="22"/>
              </w:rPr>
            </w:pPr>
            <w:r w:rsidRPr="00912E9B">
              <w:rPr>
                <w:rFonts w:asciiTheme="minorHAnsi" w:hAnsiTheme="minorHAnsi" w:cstheme="minorHAnsi"/>
                <w:sz w:val="22"/>
                <w:szCs w:val="22"/>
              </w:rPr>
              <w:t xml:space="preserve">means the entity or entities with the task of transferring net positions between </w:t>
            </w:r>
            <w:r w:rsidR="00AC718A" w:rsidRPr="00912E9B">
              <w:rPr>
                <w:rFonts w:asciiTheme="minorHAnsi" w:hAnsiTheme="minorHAnsi" w:cstheme="minorHAnsi"/>
                <w:sz w:val="22"/>
                <w:szCs w:val="22"/>
              </w:rPr>
              <w:t xml:space="preserve">Central Counter </w:t>
            </w:r>
            <w:r w:rsidRPr="00912E9B">
              <w:rPr>
                <w:rFonts w:asciiTheme="minorHAnsi" w:hAnsiTheme="minorHAnsi" w:cstheme="minorHAnsi"/>
                <w:sz w:val="22"/>
                <w:szCs w:val="22"/>
              </w:rPr>
              <w:t>parties</w:t>
            </w:r>
          </w:p>
        </w:tc>
      </w:tr>
      <w:tr w:rsidR="00912E9B" w:rsidRPr="00912E9B" w14:paraId="6A3C3CC0" w14:textId="77777777" w:rsidTr="00D40051">
        <w:trPr>
          <w:cantSplit/>
        </w:trPr>
        <w:tc>
          <w:tcPr>
            <w:tcW w:w="2298" w:type="dxa"/>
            <w:shd w:val="clear" w:color="auto" w:fill="auto"/>
            <w:vAlign w:val="center"/>
          </w:tcPr>
          <w:p w14:paraId="592AB0E9" w14:textId="749D7854" w:rsidR="00465C12" w:rsidRPr="00912E9B" w:rsidRDefault="00465C12" w:rsidP="00465C12">
            <w:pPr>
              <w:pStyle w:val="CERGlossaryTerm"/>
              <w:rPr>
                <w:rFonts w:asciiTheme="majorHAnsi" w:hAnsiTheme="majorHAnsi" w:cstheme="majorHAnsi"/>
                <w:sz w:val="22"/>
                <w:szCs w:val="22"/>
              </w:rPr>
            </w:pPr>
            <w:r w:rsidRPr="00912E9B">
              <w:rPr>
                <w:rFonts w:asciiTheme="minorHAnsi" w:hAnsiTheme="minorHAnsi" w:cstheme="minorHAnsi"/>
                <w:sz w:val="22"/>
                <w:szCs w:val="22"/>
              </w:rPr>
              <w:t>Shortfall</w:t>
            </w:r>
          </w:p>
        </w:tc>
        <w:tc>
          <w:tcPr>
            <w:tcW w:w="7088" w:type="dxa"/>
            <w:shd w:val="clear" w:color="auto" w:fill="auto"/>
            <w:vAlign w:val="center"/>
          </w:tcPr>
          <w:p w14:paraId="55D1BC93" w14:textId="581E3144" w:rsidR="00465C12" w:rsidRPr="00912E9B" w:rsidRDefault="00465C12" w:rsidP="00465C12">
            <w:pPr>
              <w:pStyle w:val="CERGlossaryDefinition"/>
              <w:tabs>
                <w:tab w:val="clear" w:pos="851"/>
              </w:tabs>
              <w:ind w:left="32"/>
              <w:jc w:val="left"/>
              <w:rPr>
                <w:rFonts w:asciiTheme="majorHAnsi" w:hAnsiTheme="majorHAnsi" w:cstheme="majorHAnsi"/>
                <w:sz w:val="22"/>
                <w:szCs w:val="22"/>
              </w:rPr>
            </w:pPr>
            <w:r w:rsidRPr="00912E9B">
              <w:rPr>
                <w:rFonts w:asciiTheme="minorHAnsi" w:hAnsiTheme="minorHAnsi" w:cstheme="minorHAnsi"/>
                <w:sz w:val="22"/>
                <w:szCs w:val="22"/>
              </w:rPr>
              <w:t>means, where any Clearing Member fails to make any payment due under the Clearing and Settlement Procedures by the Payment Due Date, the amount outstanding together with any applicable Interest.</w:t>
            </w:r>
          </w:p>
        </w:tc>
      </w:tr>
      <w:tr w:rsidR="00912E9B" w:rsidRPr="00912E9B" w14:paraId="2879A4FD" w14:textId="77777777" w:rsidTr="00D40051">
        <w:trPr>
          <w:cantSplit/>
        </w:trPr>
        <w:tc>
          <w:tcPr>
            <w:tcW w:w="2298" w:type="dxa"/>
            <w:shd w:val="clear" w:color="auto" w:fill="auto"/>
            <w:vAlign w:val="center"/>
          </w:tcPr>
          <w:p w14:paraId="50E0677C" w14:textId="792D2025" w:rsidR="00465C12" w:rsidRPr="00912E9B" w:rsidRDefault="00465C12" w:rsidP="00465C12">
            <w:pPr>
              <w:pStyle w:val="CERGlossaryTerm"/>
              <w:rPr>
                <w:rFonts w:asciiTheme="minorHAnsi" w:hAnsiTheme="minorHAnsi" w:cstheme="minorHAnsi"/>
                <w:sz w:val="22"/>
                <w:szCs w:val="22"/>
              </w:rPr>
            </w:pPr>
            <w:r w:rsidRPr="00912E9B">
              <w:rPr>
                <w:rFonts w:asciiTheme="minorHAnsi" w:hAnsiTheme="minorHAnsi" w:cstheme="minorHAnsi"/>
                <w:sz w:val="22"/>
                <w:szCs w:val="22"/>
              </w:rPr>
              <w:t>Simple Buy Order</w:t>
            </w:r>
          </w:p>
        </w:tc>
        <w:tc>
          <w:tcPr>
            <w:tcW w:w="7088" w:type="dxa"/>
            <w:shd w:val="clear" w:color="auto" w:fill="auto"/>
            <w:vAlign w:val="center"/>
          </w:tcPr>
          <w:p w14:paraId="4BEEEFFD" w14:textId="533736CF"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A Simple Order to purchase electricity.</w:t>
            </w:r>
          </w:p>
        </w:tc>
      </w:tr>
      <w:tr w:rsidR="00912E9B" w:rsidRPr="00912E9B" w14:paraId="3AE82162" w14:textId="77777777" w:rsidTr="00D40051">
        <w:trPr>
          <w:cantSplit/>
        </w:trPr>
        <w:tc>
          <w:tcPr>
            <w:tcW w:w="2298" w:type="dxa"/>
            <w:shd w:val="clear" w:color="auto" w:fill="auto"/>
            <w:vAlign w:val="center"/>
          </w:tcPr>
          <w:p w14:paraId="53DC42FD" w14:textId="083E7759" w:rsidR="00465C12" w:rsidRPr="00912E9B" w:rsidRDefault="00465C12" w:rsidP="00465C12">
            <w:pPr>
              <w:pStyle w:val="CERGlossaryTerm"/>
              <w:rPr>
                <w:rFonts w:asciiTheme="minorHAnsi" w:hAnsiTheme="minorHAnsi" w:cstheme="minorHAnsi"/>
                <w:sz w:val="22"/>
                <w:szCs w:val="22"/>
              </w:rPr>
            </w:pPr>
            <w:r w:rsidRPr="00912E9B">
              <w:rPr>
                <w:rFonts w:asciiTheme="minorHAnsi" w:hAnsiTheme="minorHAnsi" w:cstheme="minorHAnsi"/>
                <w:sz w:val="22"/>
                <w:szCs w:val="22"/>
              </w:rPr>
              <w:t>Simple Order</w:t>
            </w:r>
          </w:p>
        </w:tc>
        <w:tc>
          <w:tcPr>
            <w:tcW w:w="7088" w:type="dxa"/>
            <w:shd w:val="clear" w:color="auto" w:fill="auto"/>
            <w:vAlign w:val="center"/>
          </w:tcPr>
          <w:p w14:paraId="5F754422" w14:textId="77777777"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an Order, and:</w:t>
            </w:r>
          </w:p>
          <w:p w14:paraId="30C3AC09" w14:textId="77777777" w:rsidR="00465C12" w:rsidRPr="00912E9B" w:rsidRDefault="00465C12" w:rsidP="00465C12">
            <w:pPr>
              <w:pStyle w:val="CERGlossaryDefinition"/>
              <w:numPr>
                <w:ilvl w:val="0"/>
                <w:numId w:val="53"/>
              </w:numPr>
              <w:jc w:val="left"/>
              <w:rPr>
                <w:rFonts w:asciiTheme="minorHAnsi" w:hAnsiTheme="minorHAnsi" w:cstheme="minorHAnsi"/>
                <w:sz w:val="22"/>
                <w:szCs w:val="22"/>
              </w:rPr>
            </w:pPr>
            <w:r w:rsidRPr="00912E9B">
              <w:rPr>
                <w:rFonts w:asciiTheme="minorHAnsi" w:hAnsiTheme="minorHAnsi" w:cstheme="minorHAnsi"/>
                <w:sz w:val="22"/>
                <w:szCs w:val="22"/>
              </w:rPr>
              <w:t>in relation to a Day-Ahead Auction, is described in paragraph B.1.5 of the Trading Procedures; and</w:t>
            </w:r>
          </w:p>
          <w:p w14:paraId="4402CFBB" w14:textId="5DABAD62" w:rsidR="00465C12" w:rsidRPr="00912E9B" w:rsidRDefault="00465C12" w:rsidP="00465C12">
            <w:pPr>
              <w:pStyle w:val="CERGlossaryDefinition"/>
              <w:numPr>
                <w:ilvl w:val="0"/>
                <w:numId w:val="53"/>
              </w:numPr>
              <w:jc w:val="left"/>
              <w:rPr>
                <w:rFonts w:asciiTheme="minorHAnsi" w:hAnsiTheme="minorHAnsi" w:cstheme="minorHAnsi"/>
                <w:sz w:val="22"/>
                <w:szCs w:val="22"/>
              </w:rPr>
            </w:pPr>
            <w:r w:rsidRPr="00912E9B">
              <w:rPr>
                <w:rFonts w:asciiTheme="minorHAnsi" w:hAnsiTheme="minorHAnsi" w:cstheme="minorHAnsi"/>
                <w:sz w:val="22"/>
                <w:szCs w:val="22"/>
              </w:rPr>
              <w:t xml:space="preserve">in relation to an Intraday Auction, is described in paragraph C.1.5 of the Trading Procedures; </w:t>
            </w:r>
          </w:p>
        </w:tc>
      </w:tr>
      <w:tr w:rsidR="00912E9B" w:rsidRPr="00912E9B" w14:paraId="12A087A6" w14:textId="77777777" w:rsidTr="00D40051">
        <w:trPr>
          <w:cantSplit/>
        </w:trPr>
        <w:tc>
          <w:tcPr>
            <w:tcW w:w="2298" w:type="dxa"/>
            <w:shd w:val="clear" w:color="auto" w:fill="auto"/>
            <w:vAlign w:val="center"/>
          </w:tcPr>
          <w:p w14:paraId="0943050C" w14:textId="01C930F3" w:rsidR="00465C12" w:rsidRPr="00912E9B" w:rsidRDefault="00465C12" w:rsidP="00465C12">
            <w:pPr>
              <w:pStyle w:val="CERGlossaryTerm"/>
              <w:rPr>
                <w:rFonts w:asciiTheme="minorHAnsi" w:hAnsiTheme="minorHAnsi" w:cstheme="minorHAnsi"/>
                <w:sz w:val="22"/>
                <w:szCs w:val="22"/>
              </w:rPr>
            </w:pPr>
            <w:r w:rsidRPr="00912E9B">
              <w:rPr>
                <w:rFonts w:asciiTheme="minorHAnsi" w:hAnsiTheme="minorHAnsi" w:cstheme="minorHAnsi"/>
                <w:sz w:val="22"/>
                <w:szCs w:val="22"/>
              </w:rPr>
              <w:t>Simple Sell Order</w:t>
            </w:r>
          </w:p>
        </w:tc>
        <w:tc>
          <w:tcPr>
            <w:tcW w:w="7088" w:type="dxa"/>
            <w:shd w:val="clear" w:color="auto" w:fill="auto"/>
            <w:vAlign w:val="center"/>
          </w:tcPr>
          <w:p w14:paraId="6B2557A7" w14:textId="1E678199"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A Simple Order to sell electricity.</w:t>
            </w:r>
          </w:p>
        </w:tc>
      </w:tr>
      <w:tr w:rsidR="00912E9B" w:rsidRPr="00912E9B" w14:paraId="0A14EC25" w14:textId="77777777" w:rsidTr="00D40051">
        <w:trPr>
          <w:cantSplit/>
        </w:trPr>
        <w:tc>
          <w:tcPr>
            <w:tcW w:w="2298" w:type="dxa"/>
            <w:shd w:val="clear" w:color="auto" w:fill="auto"/>
            <w:vAlign w:val="center"/>
          </w:tcPr>
          <w:p w14:paraId="6BC42F34" w14:textId="5865C583"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Statutory Default Interest</w:t>
            </w:r>
          </w:p>
        </w:tc>
        <w:tc>
          <w:tcPr>
            <w:tcW w:w="7088" w:type="dxa"/>
            <w:shd w:val="clear" w:color="auto" w:fill="auto"/>
            <w:vAlign w:val="center"/>
          </w:tcPr>
          <w:p w14:paraId="6053CE0E" w14:textId="19380C0E"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the interest that a Clearing Member </w:t>
            </w:r>
            <w:proofErr w:type="gramStart"/>
            <w:r w:rsidRPr="00912E9B">
              <w:rPr>
                <w:rFonts w:asciiTheme="majorHAnsi" w:hAnsiTheme="majorHAnsi" w:cstheme="majorHAnsi"/>
                <w:sz w:val="22"/>
                <w:szCs w:val="22"/>
              </w:rPr>
              <w:t>has to</w:t>
            </w:r>
            <w:proofErr w:type="gramEnd"/>
            <w:r w:rsidRPr="00912E9B">
              <w:rPr>
                <w:rFonts w:asciiTheme="majorHAnsi" w:hAnsiTheme="majorHAnsi" w:cstheme="majorHAnsi"/>
                <w:sz w:val="22"/>
                <w:szCs w:val="22"/>
              </w:rPr>
              <w:t xml:space="preserve"> pay if it fails to fulfil its financial liabilities in time and amounts to interest rate envisaged by the </w:t>
            </w:r>
            <w:r w:rsidR="004A3FCE" w:rsidRPr="00912E9B">
              <w:rPr>
                <w:rFonts w:asciiTheme="majorHAnsi" w:hAnsiTheme="majorHAnsi" w:cstheme="majorHAnsi"/>
                <w:sz w:val="22"/>
                <w:szCs w:val="22"/>
              </w:rPr>
              <w:t>provision</w:t>
            </w:r>
            <w:r w:rsidRPr="00912E9B">
              <w:rPr>
                <w:rFonts w:asciiTheme="majorHAnsi" w:hAnsiTheme="majorHAnsi" w:cstheme="majorHAnsi"/>
                <w:sz w:val="22"/>
                <w:szCs w:val="22"/>
              </w:rPr>
              <w:t xml:space="preserve"> for failure to fulfil the monetary obligation timely.</w:t>
            </w:r>
          </w:p>
        </w:tc>
      </w:tr>
      <w:tr w:rsidR="00912E9B" w:rsidRPr="00912E9B" w14:paraId="0B27FFBA" w14:textId="77777777" w:rsidTr="00D40051">
        <w:trPr>
          <w:cantSplit/>
        </w:trPr>
        <w:tc>
          <w:tcPr>
            <w:tcW w:w="2298" w:type="dxa"/>
            <w:shd w:val="clear" w:color="auto" w:fill="auto"/>
            <w:vAlign w:val="center"/>
          </w:tcPr>
          <w:p w14:paraId="4D687F87" w14:textId="6D0D137A"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Supplier</w:t>
            </w:r>
          </w:p>
        </w:tc>
        <w:tc>
          <w:tcPr>
            <w:tcW w:w="7088" w:type="dxa"/>
            <w:shd w:val="clear" w:color="auto" w:fill="auto"/>
            <w:vAlign w:val="center"/>
          </w:tcPr>
          <w:p w14:paraId="3CF12BBE" w14:textId="4913EE73"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holder of a supply electricity license to perform supply activities.</w:t>
            </w:r>
          </w:p>
        </w:tc>
      </w:tr>
      <w:tr w:rsidR="00912E9B" w:rsidRPr="00912E9B" w14:paraId="2704AC0A" w14:textId="77777777" w:rsidTr="00D40051">
        <w:trPr>
          <w:cantSplit/>
        </w:trPr>
        <w:tc>
          <w:tcPr>
            <w:tcW w:w="2298" w:type="dxa"/>
            <w:shd w:val="clear" w:color="auto" w:fill="auto"/>
            <w:vAlign w:val="center"/>
          </w:tcPr>
          <w:p w14:paraId="02DB5016" w14:textId="77777777"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Suspension</w:t>
            </w:r>
          </w:p>
        </w:tc>
        <w:tc>
          <w:tcPr>
            <w:tcW w:w="7088" w:type="dxa"/>
            <w:shd w:val="clear" w:color="auto" w:fill="auto"/>
            <w:vAlign w:val="center"/>
          </w:tcPr>
          <w:p w14:paraId="329C08A7" w14:textId="680B95E0"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process whereby ALPEX suspends an Exchange Member’s membership in accordance with a Suspension Order</w:t>
            </w:r>
          </w:p>
        </w:tc>
      </w:tr>
      <w:tr w:rsidR="00912E9B" w:rsidRPr="00912E9B" w14:paraId="0A3AA586" w14:textId="77777777" w:rsidTr="00D40051">
        <w:trPr>
          <w:cantSplit/>
        </w:trPr>
        <w:tc>
          <w:tcPr>
            <w:tcW w:w="2298" w:type="dxa"/>
            <w:shd w:val="clear" w:color="auto" w:fill="auto"/>
            <w:vAlign w:val="center"/>
          </w:tcPr>
          <w:p w14:paraId="7948BD0B" w14:textId="77777777"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Suspension Order</w:t>
            </w:r>
          </w:p>
        </w:tc>
        <w:tc>
          <w:tcPr>
            <w:tcW w:w="7088" w:type="dxa"/>
            <w:shd w:val="clear" w:color="auto" w:fill="auto"/>
            <w:vAlign w:val="center"/>
          </w:tcPr>
          <w:p w14:paraId="76893EC9" w14:textId="7C96094B"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an order issued by ALPEX to the Exchange Member when ALPEX becomes aware that the Exchange Member otherwise no longer complies with the ALPEX Rules or Procedures requirements.</w:t>
            </w:r>
          </w:p>
        </w:tc>
      </w:tr>
      <w:tr w:rsidR="00912E9B" w:rsidRPr="00912E9B" w14:paraId="36372DEB" w14:textId="77777777" w:rsidTr="00D40051">
        <w:trPr>
          <w:cantSplit/>
        </w:trPr>
        <w:tc>
          <w:tcPr>
            <w:tcW w:w="2298" w:type="dxa"/>
            <w:shd w:val="clear" w:color="auto" w:fill="auto"/>
            <w:vAlign w:val="center"/>
          </w:tcPr>
          <w:p w14:paraId="124F5222" w14:textId="10960282" w:rsidR="00465C12" w:rsidRPr="00912E9B" w:rsidRDefault="00465C12" w:rsidP="00465C12">
            <w:pPr>
              <w:pStyle w:val="CERGlossaryTerm"/>
              <w:rPr>
                <w:rFonts w:asciiTheme="majorHAnsi" w:hAnsiTheme="majorHAnsi" w:cstheme="majorHAnsi"/>
                <w:sz w:val="22"/>
                <w:szCs w:val="22"/>
              </w:rPr>
            </w:pPr>
            <w:r w:rsidRPr="00912E9B">
              <w:rPr>
                <w:rFonts w:asciiTheme="minorHAnsi" w:hAnsiTheme="minorHAnsi" w:cstheme="minorHAnsi"/>
                <w:sz w:val="22"/>
                <w:szCs w:val="22"/>
              </w:rPr>
              <w:t>Tax Registration Number</w:t>
            </w:r>
          </w:p>
        </w:tc>
        <w:tc>
          <w:tcPr>
            <w:tcW w:w="7088" w:type="dxa"/>
            <w:shd w:val="clear" w:color="auto" w:fill="auto"/>
            <w:vAlign w:val="center"/>
          </w:tcPr>
          <w:p w14:paraId="080EAE08" w14:textId="63C4883F" w:rsidR="00465C12" w:rsidRPr="00912E9B" w:rsidRDefault="00465C12" w:rsidP="00465C12">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has the meaning given in Applicable Law.</w:t>
            </w:r>
          </w:p>
        </w:tc>
      </w:tr>
      <w:tr w:rsidR="00912E9B" w:rsidRPr="00912E9B" w14:paraId="7E6F9A8E" w14:textId="77777777" w:rsidTr="00D40051">
        <w:trPr>
          <w:cantSplit/>
        </w:trPr>
        <w:tc>
          <w:tcPr>
            <w:tcW w:w="2298" w:type="dxa"/>
            <w:shd w:val="clear" w:color="auto" w:fill="auto"/>
            <w:vAlign w:val="center"/>
          </w:tcPr>
          <w:p w14:paraId="4AE5F539" w14:textId="2FB3A632"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Technical Decision</w:t>
            </w:r>
          </w:p>
        </w:tc>
        <w:tc>
          <w:tcPr>
            <w:tcW w:w="7088" w:type="dxa"/>
            <w:shd w:val="clear" w:color="auto" w:fill="auto"/>
            <w:vAlign w:val="center"/>
          </w:tcPr>
          <w:p w14:paraId="72FD6744" w14:textId="3A183EE3" w:rsidR="00465C12" w:rsidRPr="00912E9B" w:rsidRDefault="00465C12" w:rsidP="00465C12">
            <w:pPr>
              <w:pStyle w:val="CERGlossaryDefinition"/>
              <w:jc w:val="left"/>
              <w:rPr>
                <w:rFonts w:asciiTheme="majorHAnsi" w:hAnsiTheme="majorHAnsi" w:cstheme="majorBidi"/>
                <w:sz w:val="22"/>
                <w:szCs w:val="22"/>
              </w:rPr>
            </w:pPr>
            <w:r w:rsidRPr="00912E9B">
              <w:rPr>
                <w:rFonts w:asciiTheme="majorHAnsi" w:hAnsiTheme="majorHAnsi" w:cstheme="majorHAnsi"/>
                <w:sz w:val="22"/>
                <w:szCs w:val="22"/>
              </w:rPr>
              <w:t xml:space="preserve">means a decision issued by ALPEX in accordance with the present ALPEX Rules, which provides technical, </w:t>
            </w:r>
            <w:proofErr w:type="gramStart"/>
            <w:r w:rsidRPr="00912E9B">
              <w:rPr>
                <w:rFonts w:asciiTheme="majorHAnsi" w:hAnsiTheme="majorHAnsi" w:cstheme="majorHAnsi"/>
                <w:sz w:val="22"/>
                <w:szCs w:val="22"/>
              </w:rPr>
              <w:t>procedural</w:t>
            </w:r>
            <w:proofErr w:type="gramEnd"/>
            <w:r w:rsidRPr="00912E9B">
              <w:rPr>
                <w:rFonts w:asciiTheme="majorHAnsi" w:hAnsiTheme="majorHAnsi" w:cstheme="majorHAnsi"/>
                <w:sz w:val="22"/>
                <w:szCs w:val="22"/>
              </w:rPr>
              <w:t xml:space="preserve"> and operational issues of a non-regulatory nature.</w:t>
            </w:r>
            <w:r w:rsidRPr="00912E9B">
              <w:rPr>
                <w:rFonts w:cs="Arial"/>
              </w:rPr>
              <w:t xml:space="preserve"> </w:t>
            </w:r>
          </w:p>
        </w:tc>
      </w:tr>
      <w:tr w:rsidR="00912E9B" w:rsidRPr="00912E9B" w14:paraId="7E2548F2" w14:textId="77777777" w:rsidTr="00D40051">
        <w:trPr>
          <w:cantSplit/>
        </w:trPr>
        <w:tc>
          <w:tcPr>
            <w:tcW w:w="2298" w:type="dxa"/>
            <w:shd w:val="clear" w:color="auto" w:fill="auto"/>
            <w:vAlign w:val="center"/>
          </w:tcPr>
          <w:p w14:paraId="615BAB2A" w14:textId="77777777"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Termination</w:t>
            </w:r>
          </w:p>
        </w:tc>
        <w:tc>
          <w:tcPr>
            <w:tcW w:w="7088" w:type="dxa"/>
            <w:shd w:val="clear" w:color="auto" w:fill="auto"/>
            <w:vAlign w:val="center"/>
          </w:tcPr>
          <w:p w14:paraId="14C25436" w14:textId="55D880AE"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the termination of the Exchange Member status </w:t>
            </w:r>
          </w:p>
        </w:tc>
      </w:tr>
      <w:tr w:rsidR="00912E9B" w:rsidRPr="00912E9B" w14:paraId="3508D685" w14:textId="77777777" w:rsidTr="00D40051">
        <w:trPr>
          <w:cantSplit/>
        </w:trPr>
        <w:tc>
          <w:tcPr>
            <w:tcW w:w="2298" w:type="dxa"/>
            <w:shd w:val="clear" w:color="auto" w:fill="auto"/>
            <w:vAlign w:val="center"/>
          </w:tcPr>
          <w:p w14:paraId="776C67FE" w14:textId="77777777"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Termination Order</w:t>
            </w:r>
          </w:p>
        </w:tc>
        <w:tc>
          <w:tcPr>
            <w:tcW w:w="7088" w:type="dxa"/>
            <w:shd w:val="clear" w:color="auto" w:fill="auto"/>
            <w:vAlign w:val="center"/>
          </w:tcPr>
          <w:p w14:paraId="14DE73B0" w14:textId="79846DE1"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means an order issued by ALPEX to the Exchange Member, that specifies the terms of the Termination, </w:t>
            </w:r>
            <w:proofErr w:type="gramStart"/>
            <w:r w:rsidRPr="00912E9B">
              <w:rPr>
                <w:rFonts w:asciiTheme="majorHAnsi" w:hAnsiTheme="majorHAnsi" w:cstheme="majorHAnsi"/>
                <w:sz w:val="22"/>
                <w:szCs w:val="22"/>
              </w:rPr>
              <w:t>time</w:t>
            </w:r>
            <w:proofErr w:type="gramEnd"/>
            <w:r w:rsidRPr="00912E9B">
              <w:rPr>
                <w:rFonts w:asciiTheme="majorHAnsi" w:hAnsiTheme="majorHAnsi" w:cstheme="majorHAnsi"/>
                <w:sz w:val="22"/>
                <w:szCs w:val="22"/>
              </w:rPr>
              <w:t xml:space="preserve"> and date from which the Termination will take effect.</w:t>
            </w:r>
          </w:p>
        </w:tc>
      </w:tr>
      <w:tr w:rsidR="00912E9B" w:rsidRPr="00912E9B" w14:paraId="6676F2EA" w14:textId="77777777" w:rsidTr="00D40051">
        <w:trPr>
          <w:cantSplit/>
        </w:trPr>
        <w:tc>
          <w:tcPr>
            <w:tcW w:w="2298" w:type="dxa"/>
            <w:shd w:val="clear" w:color="auto" w:fill="auto"/>
            <w:vAlign w:val="center"/>
          </w:tcPr>
          <w:p w14:paraId="06E4FD7F" w14:textId="669CCC63"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Trader</w:t>
            </w:r>
          </w:p>
        </w:tc>
        <w:tc>
          <w:tcPr>
            <w:tcW w:w="7088" w:type="dxa"/>
            <w:shd w:val="clear" w:color="auto" w:fill="auto"/>
            <w:vAlign w:val="center"/>
          </w:tcPr>
          <w:p w14:paraId="19DDA105" w14:textId="188E5B6A"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legal entity holder of an electricity trade license issued by the relevant Regulatory Authority.</w:t>
            </w:r>
          </w:p>
        </w:tc>
      </w:tr>
      <w:tr w:rsidR="00912E9B" w:rsidRPr="00912E9B" w14:paraId="3393B103" w14:textId="77777777" w:rsidTr="00D40051">
        <w:trPr>
          <w:cantSplit/>
        </w:trPr>
        <w:tc>
          <w:tcPr>
            <w:tcW w:w="2298" w:type="dxa"/>
            <w:shd w:val="clear" w:color="auto" w:fill="auto"/>
            <w:vAlign w:val="center"/>
          </w:tcPr>
          <w:p w14:paraId="22C457A5" w14:textId="1912706B"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Trading Data</w:t>
            </w:r>
          </w:p>
        </w:tc>
        <w:tc>
          <w:tcPr>
            <w:tcW w:w="7088" w:type="dxa"/>
            <w:shd w:val="clear" w:color="auto" w:fill="auto"/>
            <w:vAlign w:val="center"/>
          </w:tcPr>
          <w:p w14:paraId="6163251D" w14:textId="17B4D5FA" w:rsidR="00465C12" w:rsidRPr="00912E9B" w:rsidRDefault="00465C12" w:rsidP="00465C12">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 xml:space="preserve">means a range of information such as price, bid/offer </w:t>
            </w:r>
            <w:proofErr w:type="gramStart"/>
            <w:r w:rsidRPr="00912E9B">
              <w:rPr>
                <w:rFonts w:asciiTheme="minorHAnsi" w:hAnsiTheme="minorHAnsi" w:cstheme="minorHAnsi"/>
                <w:sz w:val="22"/>
                <w:szCs w:val="22"/>
              </w:rPr>
              <w:t>quotes</w:t>
            </w:r>
            <w:proofErr w:type="gramEnd"/>
            <w:r w:rsidRPr="00912E9B">
              <w:rPr>
                <w:rFonts w:asciiTheme="minorHAnsi" w:hAnsiTheme="minorHAnsi" w:cstheme="minorHAnsi"/>
                <w:sz w:val="22"/>
                <w:szCs w:val="22"/>
              </w:rPr>
              <w:t xml:space="preserve"> and market volume</w:t>
            </w:r>
          </w:p>
        </w:tc>
      </w:tr>
      <w:tr w:rsidR="00912E9B" w:rsidRPr="00912E9B" w14:paraId="031969FF" w14:textId="77777777" w:rsidTr="00D40051">
        <w:trPr>
          <w:cantSplit/>
        </w:trPr>
        <w:tc>
          <w:tcPr>
            <w:tcW w:w="2298" w:type="dxa"/>
            <w:shd w:val="clear" w:color="auto" w:fill="auto"/>
            <w:vAlign w:val="center"/>
          </w:tcPr>
          <w:p w14:paraId="12E0E39B" w14:textId="77777777"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Trading Day</w:t>
            </w:r>
          </w:p>
        </w:tc>
        <w:tc>
          <w:tcPr>
            <w:tcW w:w="7088" w:type="dxa"/>
            <w:shd w:val="clear" w:color="auto" w:fill="auto"/>
            <w:vAlign w:val="center"/>
          </w:tcPr>
          <w:p w14:paraId="588861B6" w14:textId="40638694"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the calendar day when ALPEX Markets are open for Trading</w:t>
            </w:r>
          </w:p>
        </w:tc>
      </w:tr>
      <w:tr w:rsidR="00912E9B" w:rsidRPr="00912E9B" w14:paraId="777CF9E9" w14:textId="77777777" w:rsidTr="00D40051">
        <w:trPr>
          <w:cantSplit/>
        </w:trPr>
        <w:tc>
          <w:tcPr>
            <w:tcW w:w="2298" w:type="dxa"/>
            <w:shd w:val="clear" w:color="auto" w:fill="auto"/>
            <w:vAlign w:val="center"/>
          </w:tcPr>
          <w:p w14:paraId="256B9160" w14:textId="7B7983C7" w:rsidR="00465C12" w:rsidRPr="00912E9B" w:rsidRDefault="00465C12" w:rsidP="00465C12">
            <w:pPr>
              <w:pStyle w:val="CERGlossaryTerm"/>
              <w:ind w:left="851" w:hanging="851"/>
              <w:rPr>
                <w:rFonts w:asciiTheme="majorHAnsi" w:hAnsiTheme="majorHAnsi" w:cstheme="majorHAnsi"/>
                <w:sz w:val="22"/>
                <w:szCs w:val="22"/>
              </w:rPr>
            </w:pPr>
            <w:r w:rsidRPr="00912E9B">
              <w:rPr>
                <w:rFonts w:asciiTheme="majorHAnsi" w:hAnsiTheme="majorHAnsi" w:cstheme="majorHAnsi"/>
                <w:sz w:val="22"/>
                <w:szCs w:val="22"/>
              </w:rPr>
              <w:t>Trading Halt</w:t>
            </w:r>
          </w:p>
        </w:tc>
        <w:tc>
          <w:tcPr>
            <w:tcW w:w="7088" w:type="dxa"/>
            <w:shd w:val="clear" w:color="auto" w:fill="auto"/>
            <w:vAlign w:val="center"/>
          </w:tcPr>
          <w:p w14:paraId="2AB4DC87" w14:textId="7FC1758E"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a temporary suspension of trading on the Exchange.</w:t>
            </w:r>
          </w:p>
        </w:tc>
      </w:tr>
      <w:tr w:rsidR="00912E9B" w:rsidRPr="00912E9B" w14:paraId="48216E20" w14:textId="77777777" w:rsidTr="00D40051">
        <w:trPr>
          <w:cantSplit/>
        </w:trPr>
        <w:tc>
          <w:tcPr>
            <w:tcW w:w="2298" w:type="dxa"/>
            <w:shd w:val="clear" w:color="auto" w:fill="auto"/>
            <w:vAlign w:val="center"/>
          </w:tcPr>
          <w:p w14:paraId="12EF2608" w14:textId="42EA27CB" w:rsidR="00465C12" w:rsidRPr="00912E9B" w:rsidRDefault="00465C12" w:rsidP="00465C12">
            <w:pPr>
              <w:pStyle w:val="CERGlossaryTerm"/>
              <w:ind w:left="851" w:hanging="851"/>
              <w:rPr>
                <w:rFonts w:asciiTheme="majorHAnsi" w:hAnsiTheme="majorHAnsi" w:cstheme="majorHAnsi"/>
                <w:sz w:val="22"/>
                <w:szCs w:val="22"/>
              </w:rPr>
            </w:pPr>
            <w:r w:rsidRPr="00912E9B">
              <w:rPr>
                <w:rFonts w:asciiTheme="majorHAnsi" w:hAnsiTheme="majorHAnsi" w:cstheme="majorHAnsi"/>
                <w:sz w:val="22"/>
                <w:szCs w:val="22"/>
              </w:rPr>
              <w:t>Trading Limit</w:t>
            </w:r>
          </w:p>
        </w:tc>
        <w:tc>
          <w:tcPr>
            <w:tcW w:w="7088" w:type="dxa"/>
            <w:shd w:val="clear" w:color="auto" w:fill="auto"/>
            <w:vAlign w:val="center"/>
          </w:tcPr>
          <w:p w14:paraId="7B92C1CA" w14:textId="2C057169"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the monetary value up to which an Exchange Member can trade over a specified period.</w:t>
            </w:r>
          </w:p>
        </w:tc>
      </w:tr>
      <w:tr w:rsidR="00912E9B" w:rsidRPr="00912E9B" w14:paraId="2C834645" w14:textId="77777777" w:rsidTr="00D40051">
        <w:trPr>
          <w:cantSplit/>
        </w:trPr>
        <w:tc>
          <w:tcPr>
            <w:tcW w:w="2298" w:type="dxa"/>
            <w:shd w:val="clear" w:color="auto" w:fill="auto"/>
            <w:vAlign w:val="center"/>
          </w:tcPr>
          <w:p w14:paraId="56247342" w14:textId="4A24A0CA" w:rsidR="00465C12" w:rsidRPr="00912E9B" w:rsidRDefault="00465C12" w:rsidP="00465C12">
            <w:pPr>
              <w:pStyle w:val="CERGlossaryTerm"/>
              <w:tabs>
                <w:tab w:val="clear" w:pos="851"/>
              </w:tabs>
              <w:ind w:left="-10" w:right="-70"/>
              <w:rPr>
                <w:rFonts w:asciiTheme="majorHAnsi" w:hAnsiTheme="majorHAnsi" w:cstheme="majorHAnsi"/>
                <w:sz w:val="22"/>
                <w:szCs w:val="22"/>
              </w:rPr>
            </w:pPr>
            <w:r w:rsidRPr="00912E9B">
              <w:rPr>
                <w:rFonts w:asciiTheme="minorHAnsi" w:hAnsiTheme="minorHAnsi" w:cstheme="minorHAnsi"/>
                <w:sz w:val="22"/>
                <w:szCs w:val="22"/>
              </w:rPr>
              <w:t>Trading Payments</w:t>
            </w:r>
          </w:p>
        </w:tc>
        <w:tc>
          <w:tcPr>
            <w:tcW w:w="7088" w:type="dxa"/>
            <w:shd w:val="clear" w:color="auto" w:fill="auto"/>
            <w:vAlign w:val="center"/>
          </w:tcPr>
          <w:p w14:paraId="4F668EDB" w14:textId="7A3954DF"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the payments of Contract resulting from Trading in a Day-Ahead Market or Intraday Market.</w:t>
            </w:r>
          </w:p>
        </w:tc>
      </w:tr>
      <w:tr w:rsidR="00912E9B" w:rsidRPr="00912E9B" w14:paraId="1E162043" w14:textId="77777777" w:rsidTr="00D40051">
        <w:trPr>
          <w:cantSplit/>
        </w:trPr>
        <w:tc>
          <w:tcPr>
            <w:tcW w:w="2298" w:type="dxa"/>
            <w:shd w:val="clear" w:color="auto" w:fill="auto"/>
            <w:vAlign w:val="center"/>
          </w:tcPr>
          <w:p w14:paraId="5C336F5D" w14:textId="292FA9C2" w:rsidR="00465C12" w:rsidRPr="00912E9B" w:rsidRDefault="00465C12" w:rsidP="00465C12">
            <w:pPr>
              <w:pStyle w:val="CERGlossaryTerm"/>
              <w:tabs>
                <w:tab w:val="clear" w:pos="851"/>
              </w:tabs>
              <w:ind w:left="-10" w:right="-70"/>
              <w:rPr>
                <w:rFonts w:asciiTheme="majorHAnsi" w:hAnsiTheme="majorHAnsi" w:cstheme="majorHAnsi"/>
                <w:sz w:val="22"/>
                <w:szCs w:val="22"/>
              </w:rPr>
            </w:pPr>
            <w:r w:rsidRPr="00912E9B">
              <w:rPr>
                <w:rFonts w:asciiTheme="majorHAnsi" w:hAnsiTheme="majorHAnsi" w:cstheme="majorHAnsi"/>
                <w:sz w:val="22"/>
                <w:szCs w:val="22"/>
              </w:rPr>
              <w:t>Trading Procedures</w:t>
            </w:r>
          </w:p>
        </w:tc>
        <w:tc>
          <w:tcPr>
            <w:tcW w:w="7088" w:type="dxa"/>
            <w:shd w:val="clear" w:color="auto" w:fill="auto"/>
            <w:vAlign w:val="center"/>
          </w:tcPr>
          <w:p w14:paraId="3C442A43" w14:textId="734D4A52"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a document drafted by ALPEX and approved by relevant Regulatory Authority</w:t>
            </w:r>
          </w:p>
        </w:tc>
      </w:tr>
      <w:tr w:rsidR="00912E9B" w:rsidRPr="00912E9B" w14:paraId="1246DBE8" w14:textId="77777777" w:rsidTr="00D40051">
        <w:trPr>
          <w:cantSplit/>
        </w:trPr>
        <w:tc>
          <w:tcPr>
            <w:tcW w:w="2298" w:type="dxa"/>
            <w:shd w:val="clear" w:color="auto" w:fill="auto"/>
            <w:vAlign w:val="center"/>
          </w:tcPr>
          <w:p w14:paraId="0F426FDA" w14:textId="242AC6C0" w:rsidR="00465C12" w:rsidRPr="00912E9B" w:rsidRDefault="00465C12" w:rsidP="00465C12">
            <w:pPr>
              <w:pStyle w:val="CERGlossaryTerm"/>
              <w:tabs>
                <w:tab w:val="clear" w:pos="851"/>
              </w:tabs>
              <w:ind w:left="-10" w:right="-70"/>
              <w:rPr>
                <w:rFonts w:asciiTheme="majorHAnsi" w:hAnsiTheme="majorHAnsi" w:cstheme="majorHAnsi"/>
                <w:sz w:val="22"/>
                <w:szCs w:val="22"/>
              </w:rPr>
            </w:pPr>
            <w:r w:rsidRPr="00912E9B">
              <w:rPr>
                <w:rFonts w:asciiTheme="majorHAnsi" w:hAnsiTheme="majorHAnsi" w:cstheme="majorHAnsi"/>
                <w:sz w:val="22"/>
                <w:szCs w:val="22"/>
              </w:rPr>
              <w:t>Trading/Trades</w:t>
            </w:r>
          </w:p>
        </w:tc>
        <w:tc>
          <w:tcPr>
            <w:tcW w:w="7088" w:type="dxa"/>
            <w:shd w:val="clear" w:color="auto" w:fill="auto"/>
            <w:vAlign w:val="center"/>
          </w:tcPr>
          <w:p w14:paraId="02C9C994" w14:textId="18178041" w:rsidR="00465C12" w:rsidRPr="00912E9B" w:rsidRDefault="00465C12" w:rsidP="00465C12">
            <w:pPr>
              <w:pStyle w:val="CERGlossaryDefinition"/>
              <w:jc w:val="left"/>
              <w:rPr>
                <w:rFonts w:asciiTheme="minorHAnsi" w:hAnsiTheme="minorHAnsi" w:cstheme="minorHAnsi"/>
                <w:sz w:val="22"/>
                <w:szCs w:val="22"/>
              </w:rPr>
            </w:pPr>
            <w:r w:rsidRPr="00912E9B">
              <w:rPr>
                <w:rFonts w:asciiTheme="majorHAnsi" w:hAnsiTheme="majorHAnsi" w:cstheme="majorHAnsi"/>
                <w:sz w:val="22"/>
                <w:szCs w:val="22"/>
              </w:rPr>
              <w:t>means a contract resulting from trading in a Day-Ahead Market or Intraday Market.</w:t>
            </w:r>
          </w:p>
        </w:tc>
      </w:tr>
      <w:tr w:rsidR="00912E9B" w:rsidRPr="00912E9B" w14:paraId="4E28DE32" w14:textId="77777777" w:rsidTr="00D40051">
        <w:trPr>
          <w:cantSplit/>
        </w:trPr>
        <w:tc>
          <w:tcPr>
            <w:tcW w:w="2298" w:type="dxa"/>
            <w:shd w:val="clear" w:color="auto" w:fill="auto"/>
            <w:vAlign w:val="center"/>
          </w:tcPr>
          <w:p w14:paraId="24885A6E" w14:textId="4CFCAD33"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Transaction</w:t>
            </w:r>
          </w:p>
        </w:tc>
        <w:tc>
          <w:tcPr>
            <w:tcW w:w="7088" w:type="dxa"/>
            <w:shd w:val="clear" w:color="auto" w:fill="auto"/>
            <w:vAlign w:val="center"/>
          </w:tcPr>
          <w:p w14:paraId="1E02028F" w14:textId="153463E3"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The transactions in Products which are concluded in the Electricity Markets of ALPEX in accordance with the terms of the ALPEX Rules and Trading Procedures.</w:t>
            </w:r>
          </w:p>
        </w:tc>
      </w:tr>
      <w:tr w:rsidR="00912E9B" w:rsidRPr="00912E9B" w14:paraId="110036CA" w14:textId="77777777" w:rsidTr="00D40051">
        <w:trPr>
          <w:cantSplit/>
        </w:trPr>
        <w:tc>
          <w:tcPr>
            <w:tcW w:w="2298" w:type="dxa"/>
            <w:shd w:val="clear" w:color="auto" w:fill="auto"/>
            <w:vAlign w:val="center"/>
          </w:tcPr>
          <w:p w14:paraId="63C4CE81" w14:textId="587A43CD"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Transmission System Operator (TSO)</w:t>
            </w:r>
          </w:p>
        </w:tc>
        <w:tc>
          <w:tcPr>
            <w:tcW w:w="7088" w:type="dxa"/>
            <w:shd w:val="clear" w:color="auto" w:fill="auto"/>
            <w:vAlign w:val="center"/>
          </w:tcPr>
          <w:p w14:paraId="10330980" w14:textId="79CC5C06" w:rsidR="00465C12" w:rsidRPr="00912E9B" w:rsidRDefault="00465C12" w:rsidP="00465C12">
            <w:pPr>
              <w:pStyle w:val="CERGlossaryDefinition"/>
              <w:tabs>
                <w:tab w:val="clear" w:pos="851"/>
              </w:tabs>
              <w:jc w:val="left"/>
              <w:rPr>
                <w:rFonts w:asciiTheme="minorHAnsi" w:hAnsiTheme="minorHAnsi" w:cstheme="minorHAnsi"/>
                <w:sz w:val="22"/>
                <w:szCs w:val="22"/>
              </w:rPr>
            </w:pPr>
            <w:r w:rsidRPr="00912E9B">
              <w:rPr>
                <w:rFonts w:asciiTheme="minorHAnsi" w:hAnsiTheme="minorHAnsi" w:cstheme="minorHAnsi"/>
                <w:sz w:val="22"/>
                <w:szCs w:val="22"/>
              </w:rPr>
              <w:t>means an entity responsible for operating, ensuring the maintenance of and developing transmission system and includes the holder of an electricity transmission system operation license granted by a relevant Regulatory Authority.</w:t>
            </w:r>
          </w:p>
        </w:tc>
      </w:tr>
      <w:tr w:rsidR="00912E9B" w:rsidRPr="00912E9B" w14:paraId="51670F33" w14:textId="77777777" w:rsidTr="00D40051">
        <w:trPr>
          <w:cantSplit/>
        </w:trPr>
        <w:tc>
          <w:tcPr>
            <w:tcW w:w="2298" w:type="dxa"/>
            <w:shd w:val="clear" w:color="auto" w:fill="auto"/>
            <w:vAlign w:val="center"/>
          </w:tcPr>
          <w:p w14:paraId="4C276E00" w14:textId="15BD3E5A"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bCs/>
                <w:sz w:val="22"/>
                <w:szCs w:val="22"/>
              </w:rPr>
              <w:t xml:space="preserve">Transmission, System and Market Operator </w:t>
            </w:r>
            <w:proofErr w:type="spellStart"/>
            <w:r w:rsidRPr="00912E9B">
              <w:rPr>
                <w:rFonts w:asciiTheme="majorHAnsi" w:hAnsiTheme="majorHAnsi" w:cstheme="majorHAnsi"/>
                <w:bCs/>
                <w:sz w:val="22"/>
                <w:szCs w:val="22"/>
              </w:rPr>
              <w:t>j.s.c</w:t>
            </w:r>
            <w:proofErr w:type="spellEnd"/>
            <w:r w:rsidRPr="00912E9B">
              <w:rPr>
                <w:rFonts w:asciiTheme="majorHAnsi" w:hAnsiTheme="majorHAnsi" w:cstheme="majorHAnsi"/>
                <w:bCs/>
                <w:sz w:val="22"/>
                <w:szCs w:val="22"/>
              </w:rPr>
              <w:t xml:space="preserve"> – (KOSTT)</w:t>
            </w:r>
          </w:p>
        </w:tc>
        <w:tc>
          <w:tcPr>
            <w:tcW w:w="7088" w:type="dxa"/>
            <w:shd w:val="clear" w:color="auto" w:fill="auto"/>
            <w:vAlign w:val="center"/>
          </w:tcPr>
          <w:p w14:paraId="1FB3D7B5" w14:textId="50C8F58F" w:rsidR="00465C12" w:rsidRPr="00912E9B" w:rsidRDefault="00465C12" w:rsidP="00465C12">
            <w:pPr>
              <w:pStyle w:val="CERGlossaryDefinition"/>
              <w:tabs>
                <w:tab w:val="clear" w:pos="851"/>
              </w:tabs>
              <w:jc w:val="left"/>
              <w:rPr>
                <w:rFonts w:asciiTheme="minorHAnsi" w:hAnsiTheme="minorHAnsi" w:cstheme="minorHAnsi"/>
                <w:sz w:val="22"/>
                <w:szCs w:val="22"/>
              </w:rPr>
            </w:pPr>
            <w:r w:rsidRPr="00912E9B">
              <w:rPr>
                <w:rFonts w:asciiTheme="minorHAnsi" w:hAnsiTheme="minorHAnsi" w:cstheme="minorHAnsi"/>
                <w:sz w:val="22"/>
                <w:szCs w:val="22"/>
              </w:rPr>
              <w:t xml:space="preserve">means a company as per definition in respective electricity law </w:t>
            </w:r>
            <w:proofErr w:type="gramStart"/>
            <w:r w:rsidRPr="00912E9B">
              <w:rPr>
                <w:rFonts w:asciiTheme="minorHAnsi" w:hAnsiTheme="minorHAnsi" w:cstheme="minorHAnsi"/>
                <w:sz w:val="22"/>
                <w:szCs w:val="22"/>
              </w:rPr>
              <w:t>of  Kosovo</w:t>
            </w:r>
            <w:proofErr w:type="gramEnd"/>
            <w:r w:rsidR="00A6583A" w:rsidRPr="00912E9B">
              <w:rPr>
                <w:rFonts w:asciiTheme="minorHAnsi" w:hAnsiTheme="minorHAnsi" w:cstheme="minorHAnsi"/>
                <w:sz w:val="22"/>
                <w:szCs w:val="22"/>
              </w:rPr>
              <w:t xml:space="preserve"> n</w:t>
            </w:r>
            <w:r w:rsidR="00613510" w:rsidRPr="00912E9B">
              <w:rPr>
                <w:rFonts w:asciiTheme="minorHAnsi" w:hAnsiTheme="minorHAnsi" w:cstheme="minorHAnsi"/>
                <w:sz w:val="22"/>
                <w:szCs w:val="22"/>
              </w:rPr>
              <w:t>o.05/L-085</w:t>
            </w:r>
          </w:p>
        </w:tc>
      </w:tr>
      <w:tr w:rsidR="00912E9B" w:rsidRPr="00912E9B" w14:paraId="19592040" w14:textId="77777777" w:rsidTr="00D40051">
        <w:trPr>
          <w:cantSplit/>
        </w:trPr>
        <w:tc>
          <w:tcPr>
            <w:tcW w:w="2298" w:type="dxa"/>
            <w:shd w:val="clear" w:color="auto" w:fill="auto"/>
            <w:vAlign w:val="center"/>
          </w:tcPr>
          <w:p w14:paraId="560DE789" w14:textId="62528AFE" w:rsidR="00465C12" w:rsidRPr="00912E9B" w:rsidRDefault="00465C12" w:rsidP="00465C12">
            <w:pPr>
              <w:pStyle w:val="CERGlossaryTerm"/>
              <w:rPr>
                <w:rFonts w:asciiTheme="minorHAnsi" w:hAnsiTheme="minorHAnsi" w:cstheme="minorHAnsi"/>
                <w:sz w:val="22"/>
                <w:szCs w:val="22"/>
              </w:rPr>
            </w:pPr>
            <w:r w:rsidRPr="00912E9B">
              <w:rPr>
                <w:rFonts w:asciiTheme="minorHAnsi" w:hAnsiTheme="minorHAnsi" w:cstheme="minorHAnsi"/>
                <w:sz w:val="22"/>
                <w:szCs w:val="22"/>
              </w:rPr>
              <w:t>Universal Service Supplier</w:t>
            </w:r>
          </w:p>
        </w:tc>
        <w:tc>
          <w:tcPr>
            <w:tcW w:w="7088" w:type="dxa"/>
            <w:shd w:val="clear" w:color="auto" w:fill="auto"/>
            <w:vAlign w:val="center"/>
          </w:tcPr>
          <w:p w14:paraId="6E7854C6" w14:textId="3297A220"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a company as per definition in respective electricity law of Albania or Kosovo</w:t>
            </w:r>
          </w:p>
        </w:tc>
      </w:tr>
      <w:tr w:rsidR="00912E9B" w:rsidRPr="00912E9B" w14:paraId="2B16347F" w14:textId="77777777" w:rsidTr="00D40051">
        <w:trPr>
          <w:cantSplit/>
        </w:trPr>
        <w:tc>
          <w:tcPr>
            <w:tcW w:w="2298" w:type="dxa"/>
            <w:shd w:val="clear" w:color="auto" w:fill="auto"/>
            <w:vAlign w:val="center"/>
          </w:tcPr>
          <w:p w14:paraId="5A26462F" w14:textId="2F4164D8" w:rsidR="00465C12" w:rsidRPr="00912E9B" w:rsidRDefault="00465C12" w:rsidP="00465C12">
            <w:pPr>
              <w:pStyle w:val="CERGlossaryTerm"/>
              <w:rPr>
                <w:rStyle w:val="fontstyle01"/>
                <w:rFonts w:asciiTheme="majorHAnsi" w:hAnsiTheme="majorHAnsi" w:cstheme="majorHAnsi"/>
                <w:color w:val="auto"/>
              </w:rPr>
            </w:pPr>
            <w:r w:rsidRPr="00912E9B">
              <w:rPr>
                <w:rFonts w:asciiTheme="minorHAnsi" w:hAnsiTheme="minorHAnsi" w:cstheme="minorHAnsi"/>
                <w:sz w:val="22"/>
                <w:szCs w:val="22"/>
              </w:rPr>
              <w:t>Unsecured Bad Debt</w:t>
            </w:r>
          </w:p>
        </w:tc>
        <w:tc>
          <w:tcPr>
            <w:tcW w:w="7088" w:type="dxa"/>
            <w:shd w:val="clear" w:color="auto" w:fill="auto"/>
            <w:vAlign w:val="center"/>
          </w:tcPr>
          <w:p w14:paraId="095F60EE" w14:textId="523E5E11"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 xml:space="preserve">For the avoidance of doubt, this definition applies only for the purposes of the Clearing and Settlement Procedures and is not intended to imply that any </w:t>
            </w:r>
            <w:proofErr w:type="gramStart"/>
            <w:r w:rsidRPr="00912E9B">
              <w:rPr>
                <w:rFonts w:asciiTheme="minorHAnsi" w:hAnsiTheme="minorHAnsi" w:cstheme="minorHAnsi"/>
                <w:sz w:val="22"/>
                <w:szCs w:val="22"/>
              </w:rPr>
              <w:t>particular sum</w:t>
            </w:r>
            <w:proofErr w:type="gramEnd"/>
            <w:r w:rsidRPr="00912E9B">
              <w:rPr>
                <w:rFonts w:asciiTheme="minorHAnsi" w:hAnsiTheme="minorHAnsi" w:cstheme="minorHAnsi"/>
                <w:sz w:val="22"/>
                <w:szCs w:val="22"/>
              </w:rPr>
              <w:t xml:space="preserve"> is a “bad debt” within the meaning of this expression in any financial or accounting definition, standard or practice. </w:t>
            </w:r>
          </w:p>
        </w:tc>
      </w:tr>
      <w:tr w:rsidR="00912E9B" w:rsidRPr="00912E9B" w14:paraId="2F4BCF98" w14:textId="77777777" w:rsidTr="00D40051">
        <w:trPr>
          <w:cantSplit/>
        </w:trPr>
        <w:tc>
          <w:tcPr>
            <w:tcW w:w="2298" w:type="dxa"/>
            <w:shd w:val="clear" w:color="auto" w:fill="auto"/>
            <w:vAlign w:val="center"/>
          </w:tcPr>
          <w:p w14:paraId="15576CF4" w14:textId="52DD347F" w:rsidR="00465C12" w:rsidRPr="00912E9B" w:rsidRDefault="00465C12" w:rsidP="00465C12">
            <w:pPr>
              <w:pStyle w:val="CERGlossaryTerm"/>
              <w:rPr>
                <w:rFonts w:asciiTheme="majorHAnsi" w:hAnsiTheme="majorHAnsi" w:cstheme="majorHAnsi"/>
                <w:sz w:val="22"/>
                <w:szCs w:val="22"/>
              </w:rPr>
            </w:pPr>
            <w:r w:rsidRPr="00912E9B">
              <w:rPr>
                <w:rStyle w:val="fontstyle01"/>
                <w:rFonts w:asciiTheme="majorHAnsi" w:hAnsiTheme="majorHAnsi" w:cstheme="majorHAnsi"/>
                <w:color w:val="auto"/>
              </w:rPr>
              <w:t>User Account</w:t>
            </w:r>
          </w:p>
        </w:tc>
        <w:tc>
          <w:tcPr>
            <w:tcW w:w="7088" w:type="dxa"/>
            <w:shd w:val="clear" w:color="auto" w:fill="auto"/>
            <w:vAlign w:val="center"/>
          </w:tcPr>
          <w:p w14:paraId="55FB9339" w14:textId="0375D538" w:rsidR="00465C12" w:rsidRPr="00912E9B" w:rsidRDefault="00465C12" w:rsidP="00465C12">
            <w:pPr>
              <w:pStyle w:val="CERGlossaryDefinition"/>
              <w:jc w:val="left"/>
              <w:rPr>
                <w:rFonts w:asciiTheme="minorHAnsi" w:hAnsiTheme="minorHAnsi" w:cstheme="minorHAnsi"/>
                <w:sz w:val="22"/>
                <w:szCs w:val="22"/>
              </w:rPr>
            </w:pPr>
            <w:r w:rsidRPr="00912E9B">
              <w:rPr>
                <w:rFonts w:asciiTheme="minorHAnsi" w:hAnsiTheme="minorHAnsi" w:cstheme="minorHAnsi"/>
                <w:sz w:val="22"/>
                <w:szCs w:val="22"/>
              </w:rPr>
              <w:t>means an individual log-in identity, including any usernames, security keys, personal security cards, PIN codes, passwords or other access credentials or devices pertaining to such log-in identity provided for accessing the ETSS.</w:t>
            </w:r>
          </w:p>
        </w:tc>
      </w:tr>
      <w:tr w:rsidR="00912E9B" w:rsidRPr="00912E9B" w14:paraId="32BD550F" w14:textId="77777777" w:rsidTr="00D40051">
        <w:trPr>
          <w:cantSplit/>
        </w:trPr>
        <w:tc>
          <w:tcPr>
            <w:tcW w:w="2298" w:type="dxa"/>
            <w:shd w:val="clear" w:color="auto" w:fill="auto"/>
            <w:vAlign w:val="center"/>
          </w:tcPr>
          <w:p w14:paraId="53F439A8" w14:textId="77777777"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lastRenderedPageBreak/>
              <w:t>Value Added Tax or VAT</w:t>
            </w:r>
          </w:p>
        </w:tc>
        <w:tc>
          <w:tcPr>
            <w:tcW w:w="7088" w:type="dxa"/>
            <w:shd w:val="clear" w:color="auto" w:fill="auto"/>
            <w:vAlign w:val="center"/>
          </w:tcPr>
          <w:p w14:paraId="5E7E5740" w14:textId="059330CA" w:rsidR="00465C12" w:rsidRPr="00912E9B" w:rsidRDefault="00465C12" w:rsidP="00465C12">
            <w:pPr>
              <w:pStyle w:val="CERGlossaryDefinition"/>
              <w:numPr>
                <w:ilvl w:val="0"/>
                <w:numId w:val="43"/>
              </w:numPr>
              <w:jc w:val="left"/>
              <w:rPr>
                <w:rFonts w:asciiTheme="majorHAnsi" w:hAnsiTheme="majorHAnsi" w:cstheme="majorHAnsi"/>
                <w:bCs/>
                <w:sz w:val="22"/>
                <w:szCs w:val="22"/>
              </w:rPr>
            </w:pPr>
            <w:r w:rsidRPr="00912E9B">
              <w:rPr>
                <w:rFonts w:asciiTheme="minorHAnsi" w:hAnsiTheme="minorHAnsi" w:cstheme="minorHAnsi"/>
                <w:sz w:val="22"/>
                <w:szCs w:val="22"/>
              </w:rPr>
              <w:t xml:space="preserve">means the value added tax chargeable under the provisions of Applicable Law </w:t>
            </w:r>
            <w:r w:rsidRPr="00912E9B">
              <w:rPr>
                <w:rFonts w:asciiTheme="majorHAnsi" w:hAnsiTheme="majorHAnsi" w:cstheme="majorHAnsi"/>
                <w:sz w:val="22"/>
                <w:szCs w:val="22"/>
              </w:rPr>
              <w:t xml:space="preserve">in respect of Albania, the Albanian Value Added Tax Law, (as amended); or </w:t>
            </w:r>
          </w:p>
          <w:p w14:paraId="2FE60CB1" w14:textId="32EEC37D" w:rsidR="00465C12" w:rsidRPr="00912E9B" w:rsidRDefault="00465C12" w:rsidP="00465C12">
            <w:pPr>
              <w:pStyle w:val="CERGlossaryDefinition"/>
              <w:numPr>
                <w:ilvl w:val="0"/>
                <w:numId w:val="43"/>
              </w:numPr>
              <w:jc w:val="left"/>
              <w:rPr>
                <w:rFonts w:asciiTheme="majorHAnsi" w:hAnsiTheme="majorHAnsi" w:cstheme="majorHAnsi"/>
                <w:bCs/>
                <w:sz w:val="22"/>
                <w:szCs w:val="22"/>
              </w:rPr>
            </w:pPr>
            <w:r w:rsidRPr="00912E9B">
              <w:rPr>
                <w:rFonts w:asciiTheme="majorHAnsi" w:hAnsiTheme="majorHAnsi" w:cstheme="majorHAnsi"/>
                <w:sz w:val="22"/>
                <w:szCs w:val="22"/>
              </w:rPr>
              <w:t>in respect of Kosovo, the Kosovar Value Added Tax Law (as amended)</w:t>
            </w:r>
          </w:p>
          <w:p w14:paraId="27819EFF" w14:textId="6C3F3835"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 xml:space="preserve">and includes any substitute or replacement tax on the supply of goods or services. </w:t>
            </w:r>
          </w:p>
        </w:tc>
      </w:tr>
      <w:tr w:rsidR="00912E9B" w:rsidRPr="00912E9B" w14:paraId="50C12CF7" w14:textId="77777777" w:rsidTr="00D40051">
        <w:trPr>
          <w:cantSplit/>
        </w:trPr>
        <w:tc>
          <w:tcPr>
            <w:tcW w:w="2298" w:type="dxa"/>
            <w:shd w:val="clear" w:color="auto" w:fill="auto"/>
            <w:vAlign w:val="center"/>
          </w:tcPr>
          <w:p w14:paraId="06ECF0B5" w14:textId="0B20B6F3" w:rsidR="00465C12" w:rsidRPr="00912E9B" w:rsidRDefault="00465C12" w:rsidP="00465C12">
            <w:pPr>
              <w:pStyle w:val="CERGlossaryTerm"/>
              <w:rPr>
                <w:rFonts w:asciiTheme="majorHAnsi" w:hAnsiTheme="majorHAnsi" w:cstheme="majorHAnsi"/>
                <w:sz w:val="22"/>
                <w:szCs w:val="22"/>
              </w:rPr>
            </w:pPr>
            <w:r w:rsidRPr="00912E9B">
              <w:rPr>
                <w:rFonts w:asciiTheme="minorHAnsi" w:hAnsiTheme="minorHAnsi" w:cstheme="minorHAnsi"/>
                <w:sz w:val="22"/>
                <w:szCs w:val="22"/>
              </w:rPr>
              <w:t>Voluntary Termination</w:t>
            </w:r>
          </w:p>
        </w:tc>
        <w:tc>
          <w:tcPr>
            <w:tcW w:w="7088" w:type="dxa"/>
            <w:shd w:val="clear" w:color="auto" w:fill="auto"/>
            <w:vAlign w:val="center"/>
          </w:tcPr>
          <w:p w14:paraId="4ADB0E52" w14:textId="25978C1B" w:rsidR="00465C12" w:rsidRPr="00912E9B" w:rsidRDefault="00465C12" w:rsidP="00465C12">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means the voluntary Termination of a Clearing Member at its own request and in accordance with section F.3.</w:t>
            </w:r>
            <w:r w:rsidR="008657A9" w:rsidRPr="00912E9B">
              <w:rPr>
                <w:rFonts w:asciiTheme="minorHAnsi" w:hAnsiTheme="minorHAnsi" w:cstheme="minorHAnsi"/>
                <w:sz w:val="22"/>
                <w:szCs w:val="22"/>
              </w:rPr>
              <w:t xml:space="preserve"> of the Clearing and </w:t>
            </w:r>
            <w:r w:rsidR="00906923" w:rsidRPr="00912E9B">
              <w:rPr>
                <w:rFonts w:asciiTheme="minorHAnsi" w:hAnsiTheme="minorHAnsi" w:cstheme="minorHAnsi"/>
                <w:sz w:val="22"/>
                <w:szCs w:val="22"/>
              </w:rPr>
              <w:t>Settlement</w:t>
            </w:r>
            <w:r w:rsidR="008657A9" w:rsidRPr="00912E9B">
              <w:rPr>
                <w:rFonts w:asciiTheme="minorHAnsi" w:hAnsiTheme="minorHAnsi" w:cstheme="minorHAnsi"/>
                <w:sz w:val="22"/>
                <w:szCs w:val="22"/>
              </w:rPr>
              <w:t xml:space="preserve"> Proc</w:t>
            </w:r>
            <w:r w:rsidR="00841C31" w:rsidRPr="00912E9B">
              <w:rPr>
                <w:rFonts w:asciiTheme="minorHAnsi" w:hAnsiTheme="minorHAnsi" w:cstheme="minorHAnsi"/>
                <w:sz w:val="22"/>
                <w:szCs w:val="22"/>
              </w:rPr>
              <w:t>e</w:t>
            </w:r>
            <w:r w:rsidR="008657A9" w:rsidRPr="00912E9B">
              <w:rPr>
                <w:rFonts w:asciiTheme="minorHAnsi" w:hAnsiTheme="minorHAnsi" w:cstheme="minorHAnsi"/>
                <w:sz w:val="22"/>
                <w:szCs w:val="22"/>
              </w:rPr>
              <w:t>dure</w:t>
            </w:r>
          </w:p>
        </w:tc>
      </w:tr>
      <w:tr w:rsidR="00912E9B" w:rsidRPr="00912E9B" w14:paraId="1D6A39BC" w14:textId="77777777" w:rsidTr="00D40051">
        <w:trPr>
          <w:cantSplit/>
        </w:trPr>
        <w:tc>
          <w:tcPr>
            <w:tcW w:w="2298" w:type="dxa"/>
            <w:shd w:val="clear" w:color="auto" w:fill="auto"/>
            <w:vAlign w:val="center"/>
          </w:tcPr>
          <w:p w14:paraId="37B5E7BA" w14:textId="77777777" w:rsidR="00465C12" w:rsidRPr="00912E9B" w:rsidRDefault="00465C12" w:rsidP="00465C12">
            <w:pPr>
              <w:pStyle w:val="CERGlossaryTerm"/>
              <w:rPr>
                <w:rFonts w:asciiTheme="majorHAnsi" w:hAnsiTheme="majorHAnsi" w:cstheme="majorHAnsi"/>
                <w:sz w:val="22"/>
                <w:szCs w:val="22"/>
              </w:rPr>
            </w:pPr>
            <w:r w:rsidRPr="00912E9B">
              <w:rPr>
                <w:rFonts w:asciiTheme="majorHAnsi" w:hAnsiTheme="majorHAnsi" w:cstheme="majorHAnsi"/>
                <w:sz w:val="22"/>
                <w:szCs w:val="22"/>
              </w:rPr>
              <w:t>Working Day or WD</w:t>
            </w:r>
          </w:p>
        </w:tc>
        <w:tc>
          <w:tcPr>
            <w:tcW w:w="7088" w:type="dxa"/>
            <w:shd w:val="clear" w:color="auto" w:fill="auto"/>
            <w:vAlign w:val="center"/>
          </w:tcPr>
          <w:p w14:paraId="5887ABC0" w14:textId="77777777" w:rsidR="00465C12" w:rsidRPr="00912E9B" w:rsidRDefault="00465C12" w:rsidP="00465C12">
            <w:pPr>
              <w:pStyle w:val="CERGlossaryDefinition"/>
              <w:jc w:val="left"/>
              <w:rPr>
                <w:rFonts w:asciiTheme="majorHAnsi" w:hAnsiTheme="majorHAnsi" w:cstheme="majorHAnsi"/>
                <w:sz w:val="22"/>
                <w:szCs w:val="22"/>
              </w:rPr>
            </w:pPr>
            <w:r w:rsidRPr="00912E9B">
              <w:rPr>
                <w:rFonts w:asciiTheme="majorHAnsi" w:hAnsiTheme="majorHAnsi" w:cstheme="majorHAnsi"/>
                <w:sz w:val="22"/>
                <w:szCs w:val="22"/>
              </w:rPr>
              <w:t>means a weekday which is not:</w:t>
            </w:r>
          </w:p>
          <w:p w14:paraId="5CD7CE12" w14:textId="2F03275B" w:rsidR="00465C12" w:rsidRPr="00912E9B" w:rsidRDefault="00465C12" w:rsidP="00465C12">
            <w:pPr>
              <w:pStyle w:val="CERGlossaryDefinition"/>
              <w:numPr>
                <w:ilvl w:val="0"/>
                <w:numId w:val="45"/>
              </w:numPr>
              <w:jc w:val="left"/>
              <w:rPr>
                <w:rFonts w:asciiTheme="majorHAnsi" w:hAnsiTheme="majorHAnsi" w:cstheme="majorHAnsi"/>
                <w:sz w:val="22"/>
                <w:szCs w:val="22"/>
              </w:rPr>
            </w:pPr>
            <w:r w:rsidRPr="00912E9B">
              <w:rPr>
                <w:rFonts w:asciiTheme="majorHAnsi" w:hAnsiTheme="majorHAnsi" w:cstheme="majorHAnsi"/>
                <w:sz w:val="22"/>
                <w:szCs w:val="22"/>
              </w:rPr>
              <w:t xml:space="preserve">a public holiday or a bank holiday in Albania or </w:t>
            </w:r>
            <w:proofErr w:type="gramStart"/>
            <w:r w:rsidRPr="00912E9B">
              <w:rPr>
                <w:rFonts w:asciiTheme="majorHAnsi" w:hAnsiTheme="majorHAnsi" w:cstheme="majorHAnsi"/>
                <w:sz w:val="22"/>
                <w:szCs w:val="22"/>
              </w:rPr>
              <w:t>Kosovo;</w:t>
            </w:r>
            <w:proofErr w:type="gramEnd"/>
          </w:p>
          <w:p w14:paraId="6B01B199" w14:textId="762D38E6" w:rsidR="00465C12" w:rsidRPr="00912E9B" w:rsidRDefault="00465C12" w:rsidP="00465C12">
            <w:pPr>
              <w:pStyle w:val="CERGlossaryDefinition"/>
              <w:numPr>
                <w:ilvl w:val="0"/>
                <w:numId w:val="45"/>
              </w:numPr>
              <w:jc w:val="left"/>
              <w:rPr>
                <w:rFonts w:asciiTheme="majorHAnsi" w:hAnsiTheme="majorHAnsi" w:cstheme="majorHAnsi"/>
                <w:sz w:val="22"/>
                <w:szCs w:val="22"/>
              </w:rPr>
            </w:pPr>
            <w:r w:rsidRPr="00912E9B">
              <w:rPr>
                <w:rFonts w:asciiTheme="majorHAnsi" w:hAnsiTheme="majorHAnsi" w:cstheme="majorHAnsi"/>
                <w:sz w:val="22"/>
                <w:szCs w:val="22"/>
              </w:rPr>
              <w:t xml:space="preserve">a non-processing day, as advised by the Bank, in Albania or the Kosovo. </w:t>
            </w:r>
          </w:p>
          <w:p w14:paraId="3B072D86" w14:textId="77777777" w:rsidR="00465C12" w:rsidRPr="00912E9B" w:rsidRDefault="00465C12" w:rsidP="00465C12">
            <w:pPr>
              <w:pStyle w:val="CERGlossaryDefinition"/>
              <w:tabs>
                <w:tab w:val="clear" w:pos="851"/>
              </w:tabs>
              <w:jc w:val="left"/>
              <w:rPr>
                <w:rFonts w:asciiTheme="majorHAnsi" w:hAnsiTheme="majorHAnsi" w:cstheme="majorHAnsi"/>
                <w:sz w:val="22"/>
                <w:szCs w:val="22"/>
              </w:rPr>
            </w:pPr>
            <w:r w:rsidRPr="00912E9B">
              <w:rPr>
                <w:rFonts w:asciiTheme="majorHAnsi" w:hAnsiTheme="majorHAnsi" w:cstheme="majorHAnsi"/>
                <w:sz w:val="22"/>
                <w:szCs w:val="22"/>
              </w:rPr>
              <w:t>The term “Non-Working Day” shall be construed accordingly.</w:t>
            </w:r>
          </w:p>
        </w:tc>
      </w:tr>
      <w:tr w:rsidR="00465C12" w:rsidRPr="00912E9B" w14:paraId="6F546B7F" w14:textId="77777777" w:rsidTr="00D40051">
        <w:trPr>
          <w:cantSplit/>
        </w:trPr>
        <w:tc>
          <w:tcPr>
            <w:tcW w:w="2298" w:type="dxa"/>
            <w:shd w:val="clear" w:color="auto" w:fill="auto"/>
            <w:vAlign w:val="center"/>
          </w:tcPr>
          <w:p w14:paraId="3A79D419" w14:textId="22D90421" w:rsidR="00465C12" w:rsidRPr="00912E9B" w:rsidRDefault="00465C12" w:rsidP="00465C12">
            <w:pPr>
              <w:pStyle w:val="CERGlossaryTerm"/>
              <w:rPr>
                <w:rFonts w:asciiTheme="majorHAnsi" w:hAnsiTheme="majorHAnsi" w:cstheme="majorHAnsi"/>
                <w:sz w:val="22"/>
                <w:szCs w:val="22"/>
              </w:rPr>
            </w:pPr>
            <w:r w:rsidRPr="00912E9B">
              <w:rPr>
                <w:rFonts w:asciiTheme="minorHAnsi" w:hAnsiTheme="minorHAnsi" w:cstheme="minorHAnsi"/>
                <w:sz w:val="22"/>
                <w:szCs w:val="22"/>
              </w:rPr>
              <w:t>Year</w:t>
            </w:r>
          </w:p>
        </w:tc>
        <w:tc>
          <w:tcPr>
            <w:tcW w:w="7088" w:type="dxa"/>
            <w:shd w:val="clear" w:color="auto" w:fill="auto"/>
            <w:vAlign w:val="center"/>
          </w:tcPr>
          <w:p w14:paraId="6ECAA622" w14:textId="7A801843" w:rsidR="00465C12" w:rsidRPr="00912E9B" w:rsidRDefault="00465C12" w:rsidP="00465C12">
            <w:pPr>
              <w:pStyle w:val="CERGlossaryDefinition"/>
              <w:jc w:val="left"/>
              <w:rPr>
                <w:rFonts w:asciiTheme="majorHAnsi" w:hAnsiTheme="majorHAnsi" w:cstheme="majorHAnsi"/>
                <w:sz w:val="22"/>
                <w:szCs w:val="22"/>
              </w:rPr>
            </w:pPr>
            <w:r w:rsidRPr="00912E9B">
              <w:rPr>
                <w:rFonts w:asciiTheme="minorHAnsi" w:hAnsiTheme="minorHAnsi" w:cstheme="minorHAnsi"/>
                <w:sz w:val="22"/>
                <w:szCs w:val="22"/>
              </w:rPr>
              <w:t>means a period commencing at 00:00h on 1 January and ending at 24:00h on the next occurring 31 December.</w:t>
            </w:r>
          </w:p>
        </w:tc>
      </w:tr>
      <w:bookmarkEnd w:id="0"/>
      <w:bookmarkEnd w:id="1"/>
    </w:tbl>
    <w:p w14:paraId="0F35A2CA" w14:textId="77777777" w:rsidR="00C32E1D" w:rsidRPr="00912E9B" w:rsidRDefault="00C32E1D" w:rsidP="00C32E1D">
      <w:pPr>
        <w:rPr>
          <w:rFonts w:asciiTheme="majorHAnsi" w:hAnsiTheme="majorHAnsi" w:cstheme="majorHAnsi"/>
          <w:sz w:val="22"/>
          <w:szCs w:val="22"/>
        </w:rPr>
      </w:pPr>
    </w:p>
    <w:sectPr w:rsidR="00C32E1D" w:rsidRPr="00912E9B" w:rsidSect="00350EA9">
      <w:headerReference w:type="even" r:id="rId11"/>
      <w:headerReference w:type="default" r:id="rId12"/>
      <w:footerReference w:type="default" r:id="rId13"/>
      <w:pgSz w:w="11906" w:h="16838" w:code="9"/>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26BA8" w14:textId="77777777" w:rsidR="00C34956" w:rsidRDefault="00C34956">
      <w:pPr>
        <w:spacing w:after="0" w:line="240" w:lineRule="auto"/>
      </w:pPr>
      <w:r>
        <w:separator/>
      </w:r>
    </w:p>
  </w:endnote>
  <w:endnote w:type="continuationSeparator" w:id="0">
    <w:p w14:paraId="582CF783" w14:textId="77777777" w:rsidR="00C34956" w:rsidRDefault="00C34956">
      <w:pPr>
        <w:spacing w:after="0" w:line="240" w:lineRule="auto"/>
      </w:pPr>
      <w:r>
        <w:continuationSeparator/>
      </w:r>
    </w:p>
  </w:endnote>
  <w:endnote w:type="continuationNotice" w:id="1">
    <w:p w14:paraId="7FB5218B" w14:textId="77777777" w:rsidR="00C34956" w:rsidRDefault="00C349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EUAlbertina">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14092"/>
      <w:docPartObj>
        <w:docPartGallery w:val="Page Numbers (Bottom of Page)"/>
        <w:docPartUnique/>
      </w:docPartObj>
    </w:sdtPr>
    <w:sdtEndPr>
      <w:rPr>
        <w:noProof/>
      </w:rPr>
    </w:sdtEndPr>
    <w:sdtContent>
      <w:p w14:paraId="5F147459" w14:textId="76A69540" w:rsidR="000C12CC" w:rsidRDefault="000C12CC">
        <w:pPr>
          <w:pStyle w:val="Footer"/>
          <w:jc w:val="right"/>
        </w:pPr>
        <w:r>
          <w:fldChar w:fldCharType="begin"/>
        </w:r>
        <w:r>
          <w:instrText xml:space="preserve"> PAGE   \* MERGEFORMAT </w:instrText>
        </w:r>
        <w:r>
          <w:fldChar w:fldCharType="separate"/>
        </w:r>
        <w:r w:rsidR="0075750B">
          <w:rPr>
            <w:noProof/>
          </w:rPr>
          <w:t>11</w:t>
        </w:r>
        <w:r>
          <w:rPr>
            <w:noProof/>
          </w:rPr>
          <w:fldChar w:fldCharType="end"/>
        </w:r>
      </w:p>
    </w:sdtContent>
  </w:sdt>
  <w:p w14:paraId="2EC05B97" w14:textId="77777777" w:rsidR="000C12CC" w:rsidRDefault="000C12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A77E7" w14:textId="77777777" w:rsidR="00C34956" w:rsidRDefault="00C34956">
      <w:pPr>
        <w:spacing w:after="0" w:line="240" w:lineRule="auto"/>
      </w:pPr>
      <w:r>
        <w:separator/>
      </w:r>
    </w:p>
  </w:footnote>
  <w:footnote w:type="continuationSeparator" w:id="0">
    <w:p w14:paraId="1352415D" w14:textId="77777777" w:rsidR="00C34956" w:rsidRDefault="00C34956">
      <w:pPr>
        <w:spacing w:after="0" w:line="240" w:lineRule="auto"/>
      </w:pPr>
      <w:r>
        <w:continuationSeparator/>
      </w:r>
    </w:p>
  </w:footnote>
  <w:footnote w:type="continuationNotice" w:id="1">
    <w:p w14:paraId="4F903918" w14:textId="77777777" w:rsidR="00C34956" w:rsidRDefault="00C349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291CF" w14:textId="382BCC8D" w:rsidR="000C12CC" w:rsidRDefault="000C12CC">
    <w:pPr>
      <w:pStyle w:val="Header"/>
    </w:pPr>
    <w:r>
      <w:rPr>
        <w:noProof/>
        <w:lang w:val="en-IE" w:eastAsia="en-IE"/>
      </w:rPr>
      <mc:AlternateContent>
        <mc:Choice Requires="wps">
          <w:drawing>
            <wp:anchor distT="0" distB="0" distL="114300" distR="114300" simplePos="0" relativeHeight="251658240" behindDoc="1" locked="0" layoutInCell="0" allowOverlap="1" wp14:anchorId="44AE117A" wp14:editId="3ABC01F4">
              <wp:simplePos x="0" y="0"/>
              <wp:positionH relativeFrom="margin">
                <wp:align>center</wp:align>
              </wp:positionH>
              <wp:positionV relativeFrom="margin">
                <wp:align>center</wp:align>
              </wp:positionV>
              <wp:extent cx="5800090" cy="2319655"/>
              <wp:effectExtent l="0" t="1571625" r="0" b="1271270"/>
              <wp:wrapNone/>
              <wp:docPr id="2"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00090" cy="231965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4AE117A" id="_x0000_t202" coordsize="21600,21600" o:spt="202" path="m,l,21600r21600,l21600,xe">
              <v:stroke joinstyle="miter"/>
              <v:path gradientshapeok="t" o:connecttype="rect"/>
            </v:shapetype>
            <v:shape id="WordArt 2" o:spid="_x0000_s1026" type="#_x0000_t202" style="position:absolute;left:0;text-align:left;margin-left:0;margin-top:0;width:456.7pt;height:182.6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" o:allowincell="f" filled="f" stroked="f">
              <v:stroke joinstyle="round"/>
              <o:lock v:ext="edit" shapetype="t"/>
              <v:textbox style="mso-fit-shape-to-text:t">
                <w:txbxContent>
                  <w:p w14:paraId="57BF1C70" w14:textId="77777777" w:rsidR="000C12CC" w:rsidRDefault="000C12CC" w:rsidP="008A2B54">
                    <w:pPr>
                      <w:pStyle w:val="NormalWeb"/>
                      <w:spacing w:after="0"/>
                      <w:jc w:val="center"/>
                      <w:rPr>
                        <w:sz w:val="24"/>
                      </w:rPr>
                    </w:pPr>
                    <w:r>
                      <w:rPr>
                        <w:rFonts w:cs="Arial"/>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84F82" w14:textId="6C3304A6" w:rsidR="000C12CC" w:rsidRDefault="00C92F32" w:rsidP="00B63CF9">
    <w:pPr>
      <w:pStyle w:val="Header"/>
      <w:jc w:val="right"/>
    </w:pPr>
    <w:r>
      <w:t>ALPEX</w:t>
    </w:r>
    <w:r w:rsidR="000C12CC">
      <w:t xml:space="preserve"> Glossary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368EF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7C69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574755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900B17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AD9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438FE5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4C89B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6C47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7648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8A67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AE5A53"/>
    <w:multiLevelType w:val="multilevel"/>
    <w:tmpl w:val="FFEE0744"/>
    <w:name w:val="AnnexHeadingLT"/>
    <w:lvl w:ilvl="0">
      <w:start w:val="1"/>
      <w:numFmt w:val="decimal"/>
      <w:pStyle w:val="AnnexNumHead"/>
      <w:suff w:val="nothing"/>
      <w:lvlText w:val="Annex %1"/>
      <w:lvlJc w:val="left"/>
      <w:pPr>
        <w:ind w:left="0" w:firstLine="0"/>
      </w:pPr>
      <w:rPr>
        <w:rFonts w:ascii="Arial" w:hAnsi="Arial" w:hint="default"/>
        <w:b/>
        <w:i w:val="0"/>
        <w:sz w:val="22"/>
      </w:rPr>
    </w:lvl>
    <w:lvl w:ilvl="1">
      <w:start w:val="1"/>
      <w:numFmt w:val="none"/>
      <w:pStyle w:val="Anne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7405088"/>
    <w:multiLevelType w:val="multilevel"/>
    <w:tmpl w:val="5FC80952"/>
    <w:name w:val="ScheduleHeadingLT"/>
    <w:lvl w:ilvl="0">
      <w:start w:val="1"/>
      <w:numFmt w:val="decimal"/>
      <w:pStyle w:val="SchedNumHead"/>
      <w:suff w:val="nothing"/>
      <w:lvlText w:val="Schedule %1"/>
      <w:lvlJc w:val="left"/>
      <w:pPr>
        <w:ind w:left="0" w:firstLine="0"/>
      </w:pPr>
      <w:rPr>
        <w:rFonts w:ascii="Arial" w:hAnsi="Arial" w:hint="default"/>
        <w:b/>
        <w:i w:val="0"/>
        <w:sz w:val="22"/>
      </w:rPr>
    </w:lvl>
    <w:lvl w:ilvl="1">
      <w:start w:val="1"/>
      <w:numFmt w:val="none"/>
      <w:pStyle w:val="Sched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0807326E"/>
    <w:multiLevelType w:val="multilevel"/>
    <w:tmpl w:val="4104C2FE"/>
    <w:name w:val="ExhibitHeadingLT"/>
    <w:lvl w:ilvl="0">
      <w:start w:val="1"/>
      <w:numFmt w:val="decimal"/>
      <w:pStyle w:val="ExhibitNumHead"/>
      <w:suff w:val="nothing"/>
      <w:lvlText w:val="Exhibit %1"/>
      <w:lvlJc w:val="left"/>
      <w:pPr>
        <w:ind w:left="0" w:firstLine="0"/>
      </w:pPr>
      <w:rPr>
        <w:rFonts w:ascii="Arial" w:hAnsi="Arial" w:hint="default"/>
        <w:b/>
        <w:i w:val="0"/>
        <w:sz w:val="22"/>
      </w:rPr>
    </w:lvl>
    <w:lvl w:ilvl="1">
      <w:start w:val="1"/>
      <w:numFmt w:val="none"/>
      <w:pStyle w:val="Exhibit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BA61536"/>
    <w:multiLevelType w:val="hybridMultilevel"/>
    <w:tmpl w:val="E54AF1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EF46C2F"/>
    <w:multiLevelType w:val="hybridMultilevel"/>
    <w:tmpl w:val="84645DBA"/>
    <w:lvl w:ilvl="0" w:tplc="CF463A70">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408238E"/>
    <w:multiLevelType w:val="multilevel"/>
    <w:tmpl w:val="7F0439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56B4BBF"/>
    <w:multiLevelType w:val="multilevel"/>
    <w:tmpl w:val="5718B806"/>
    <w:name w:val="SCH7LT"/>
    <w:lvl w:ilvl="0">
      <w:start w:val="1"/>
      <w:numFmt w:val="decimal"/>
      <w:pStyle w:val="SCH7-LEVEL1"/>
      <w:lvlText w:val="%1"/>
      <w:lvlJc w:val="left"/>
      <w:pPr>
        <w:tabs>
          <w:tab w:val="num" w:pos="709"/>
        </w:tabs>
        <w:ind w:left="709" w:hanging="709"/>
      </w:pPr>
      <w:rPr>
        <w:rFonts w:ascii="Arial" w:hAnsi="Arial" w:hint="default"/>
        <w:b w:val="0"/>
        <w:i w:val="0"/>
        <w:sz w:val="22"/>
      </w:rPr>
    </w:lvl>
    <w:lvl w:ilvl="1">
      <w:start w:val="1"/>
      <w:numFmt w:val="decimal"/>
      <w:pStyle w:val="SCH7-LEVEL2"/>
      <w:lvlText w:val="%1.%2"/>
      <w:lvlJc w:val="left"/>
      <w:pPr>
        <w:tabs>
          <w:tab w:val="num" w:pos="709"/>
        </w:tabs>
        <w:ind w:left="709" w:hanging="709"/>
      </w:pPr>
      <w:rPr>
        <w:rFonts w:ascii="Arial" w:hAnsi="Arial" w:hint="default"/>
        <w:b w:val="0"/>
        <w:i w:val="0"/>
        <w:sz w:val="20"/>
      </w:rPr>
    </w:lvl>
    <w:lvl w:ilvl="2">
      <w:start w:val="1"/>
      <w:numFmt w:val="decimal"/>
      <w:pStyle w:val="SCH7-LEVEL3"/>
      <w:lvlText w:val="%1.%2.%3"/>
      <w:lvlJc w:val="left"/>
      <w:pPr>
        <w:tabs>
          <w:tab w:val="num" w:pos="709"/>
        </w:tabs>
        <w:ind w:left="709" w:hanging="709"/>
      </w:pPr>
      <w:rPr>
        <w:rFonts w:ascii="Arial" w:hAnsi="Arial" w:hint="default"/>
        <w:b w:val="0"/>
        <w:i w:val="0"/>
        <w:sz w:val="20"/>
      </w:rPr>
    </w:lvl>
    <w:lvl w:ilvl="3">
      <w:start w:val="1"/>
      <w:numFmt w:val="lowerLetter"/>
      <w:pStyle w:val="SCH7-LEVEL4"/>
      <w:lvlText w:val="(%4)"/>
      <w:lvlJc w:val="left"/>
      <w:pPr>
        <w:tabs>
          <w:tab w:val="num" w:pos="709"/>
        </w:tabs>
        <w:ind w:left="709" w:hanging="709"/>
      </w:pPr>
      <w:rPr>
        <w:rFonts w:ascii="Arial" w:hAnsi="Arial" w:hint="default"/>
        <w:b w:val="0"/>
        <w:i w:val="0"/>
        <w:sz w:val="20"/>
      </w:rPr>
    </w:lvl>
    <w:lvl w:ilvl="4">
      <w:start w:val="1"/>
      <w:numFmt w:val="lowerRoman"/>
      <w:pStyle w:val="SCH7-LEVEL5"/>
      <w:lvlText w:val="(%5)"/>
      <w:lvlJc w:val="left"/>
      <w:pPr>
        <w:tabs>
          <w:tab w:val="num" w:pos="709"/>
        </w:tabs>
        <w:ind w:left="709" w:hanging="709"/>
      </w:pPr>
      <w:rPr>
        <w:rFonts w:ascii="Arial" w:hAnsi="Arial" w:hint="default"/>
        <w:b w:val="0"/>
        <w:i w:val="0"/>
        <w:sz w:val="20"/>
      </w:rPr>
    </w:lvl>
    <w:lvl w:ilvl="5">
      <w:start w:val="1"/>
      <w:numFmt w:val="decimal"/>
      <w:pStyle w:val="SCH7-LEVEL6"/>
      <w:lvlText w:val="(%6)"/>
      <w:lvlJc w:val="left"/>
      <w:pPr>
        <w:tabs>
          <w:tab w:val="num" w:pos="709"/>
        </w:tabs>
        <w:ind w:left="709" w:hanging="709"/>
      </w:pPr>
      <w:rPr>
        <w:rFonts w:ascii="Arial" w:hAnsi="Arial" w:hint="default"/>
        <w:b w:val="0"/>
        <w:i w:val="0"/>
        <w:sz w:val="20"/>
      </w:rPr>
    </w:lvl>
    <w:lvl w:ilvl="6">
      <w:start w:val="1"/>
      <w:numFmt w:val="upperLetter"/>
      <w:pStyle w:val="SCH7-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7" w15:restartNumberingAfterBreak="0">
    <w:nsid w:val="1AC2391A"/>
    <w:multiLevelType w:val="multilevel"/>
    <w:tmpl w:val="963A9992"/>
    <w:name w:val="SCH9LT"/>
    <w:lvl w:ilvl="0">
      <w:start w:val="1"/>
      <w:numFmt w:val="decimal"/>
      <w:pStyle w:val="SCH9-LEVEL1"/>
      <w:lvlText w:val="%1"/>
      <w:lvlJc w:val="left"/>
      <w:pPr>
        <w:tabs>
          <w:tab w:val="num" w:pos="709"/>
        </w:tabs>
        <w:ind w:left="709" w:hanging="709"/>
      </w:pPr>
      <w:rPr>
        <w:rFonts w:ascii="Arial" w:hAnsi="Arial" w:hint="default"/>
        <w:b w:val="0"/>
        <w:i w:val="0"/>
        <w:sz w:val="22"/>
      </w:rPr>
    </w:lvl>
    <w:lvl w:ilvl="1">
      <w:start w:val="1"/>
      <w:numFmt w:val="decimal"/>
      <w:pStyle w:val="SCH9-LEVEL2"/>
      <w:lvlText w:val="%1.%2"/>
      <w:lvlJc w:val="left"/>
      <w:pPr>
        <w:tabs>
          <w:tab w:val="num" w:pos="709"/>
        </w:tabs>
        <w:ind w:left="709" w:hanging="709"/>
      </w:pPr>
      <w:rPr>
        <w:rFonts w:ascii="Arial" w:hAnsi="Arial" w:hint="default"/>
        <w:b w:val="0"/>
        <w:i w:val="0"/>
        <w:sz w:val="20"/>
      </w:rPr>
    </w:lvl>
    <w:lvl w:ilvl="2">
      <w:start w:val="1"/>
      <w:numFmt w:val="decimal"/>
      <w:pStyle w:val="SCH9-LEVEL3"/>
      <w:lvlText w:val="%1.%2.%3"/>
      <w:lvlJc w:val="left"/>
      <w:pPr>
        <w:tabs>
          <w:tab w:val="num" w:pos="709"/>
        </w:tabs>
        <w:ind w:left="709" w:hanging="709"/>
      </w:pPr>
      <w:rPr>
        <w:rFonts w:ascii="Arial" w:hAnsi="Arial" w:hint="default"/>
        <w:b w:val="0"/>
        <w:i w:val="0"/>
        <w:sz w:val="20"/>
      </w:rPr>
    </w:lvl>
    <w:lvl w:ilvl="3">
      <w:start w:val="1"/>
      <w:numFmt w:val="lowerLetter"/>
      <w:pStyle w:val="SCH9-LEVEL4"/>
      <w:lvlText w:val="(%4)"/>
      <w:lvlJc w:val="left"/>
      <w:pPr>
        <w:tabs>
          <w:tab w:val="num" w:pos="2126"/>
        </w:tabs>
        <w:ind w:left="709" w:hanging="709"/>
      </w:pPr>
      <w:rPr>
        <w:rFonts w:ascii="Arial" w:hAnsi="Arial" w:hint="default"/>
        <w:b w:val="0"/>
        <w:i w:val="0"/>
        <w:sz w:val="20"/>
      </w:rPr>
    </w:lvl>
    <w:lvl w:ilvl="4">
      <w:start w:val="1"/>
      <w:numFmt w:val="lowerRoman"/>
      <w:pStyle w:val="SCH9-LEVEL5"/>
      <w:lvlText w:val="(%5)"/>
      <w:lvlJc w:val="left"/>
      <w:pPr>
        <w:tabs>
          <w:tab w:val="num" w:pos="2835"/>
        </w:tabs>
        <w:ind w:left="709" w:hanging="709"/>
      </w:pPr>
      <w:rPr>
        <w:rFonts w:ascii="Arial" w:hAnsi="Arial" w:hint="default"/>
        <w:b w:val="0"/>
        <w:i w:val="0"/>
        <w:sz w:val="20"/>
      </w:rPr>
    </w:lvl>
    <w:lvl w:ilvl="5">
      <w:start w:val="1"/>
      <w:numFmt w:val="decimal"/>
      <w:pStyle w:val="SCH9-LEVEL6"/>
      <w:lvlText w:val="(%6)"/>
      <w:lvlJc w:val="left"/>
      <w:pPr>
        <w:tabs>
          <w:tab w:val="num" w:pos="3543"/>
        </w:tabs>
        <w:ind w:left="709" w:hanging="709"/>
      </w:pPr>
      <w:rPr>
        <w:rFonts w:ascii="Arial" w:hAnsi="Arial" w:hint="default"/>
        <w:b w:val="0"/>
        <w:i w:val="0"/>
        <w:sz w:val="20"/>
      </w:rPr>
    </w:lvl>
    <w:lvl w:ilvl="6">
      <w:start w:val="1"/>
      <w:numFmt w:val="upperLetter"/>
      <w:pStyle w:val="SCH9-LEVEL7"/>
      <w:lvlText w:val="(%7)"/>
      <w:lvlJc w:val="left"/>
      <w:pPr>
        <w:tabs>
          <w:tab w:val="num" w:pos="3827"/>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18" w15:restartNumberingAfterBreak="0">
    <w:nsid w:val="1DED55DC"/>
    <w:multiLevelType w:val="multilevel"/>
    <w:tmpl w:val="A058F360"/>
    <w:styleLink w:val="Heading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9" w15:restartNumberingAfterBreak="0">
    <w:nsid w:val="22FB25E5"/>
    <w:multiLevelType w:val="multilevel"/>
    <w:tmpl w:val="F3606FA6"/>
    <w:name w:val="AgtLT"/>
    <w:lvl w:ilvl="0">
      <w:start w:val="1"/>
      <w:numFmt w:val="decimal"/>
      <w:pStyle w:val="Level1"/>
      <w:lvlText w:val="%1"/>
      <w:lvlJc w:val="left"/>
      <w:pPr>
        <w:tabs>
          <w:tab w:val="num" w:pos="709"/>
        </w:tabs>
        <w:ind w:left="709" w:hanging="709"/>
      </w:pPr>
      <w:rPr>
        <w:rFonts w:ascii="Arial" w:hAnsi="Arial" w:hint="default"/>
        <w:b w:val="0"/>
        <w:i w:val="0"/>
        <w:sz w:val="22"/>
      </w:rPr>
    </w:lvl>
    <w:lvl w:ilvl="1">
      <w:start w:val="1"/>
      <w:numFmt w:val="decimal"/>
      <w:pStyle w:val="Level2"/>
      <w:lvlText w:val="%1.%2"/>
      <w:lvlJc w:val="left"/>
      <w:pPr>
        <w:tabs>
          <w:tab w:val="num" w:pos="709"/>
        </w:tabs>
        <w:ind w:left="709" w:hanging="709"/>
      </w:pPr>
      <w:rPr>
        <w:rFonts w:ascii="Arial" w:hAnsi="Arial" w:hint="default"/>
        <w:b w:val="0"/>
        <w:i w:val="0"/>
        <w:sz w:val="20"/>
      </w:rPr>
    </w:lvl>
    <w:lvl w:ilvl="2">
      <w:start w:val="1"/>
      <w:numFmt w:val="decimal"/>
      <w:pStyle w:val="Level3"/>
      <w:lvlText w:val="%1.%2.%3"/>
      <w:lvlJc w:val="left"/>
      <w:pPr>
        <w:tabs>
          <w:tab w:val="num" w:pos="709"/>
        </w:tabs>
        <w:ind w:left="709" w:hanging="709"/>
      </w:pPr>
      <w:rPr>
        <w:rFonts w:ascii="Arial" w:hAnsi="Arial" w:hint="default"/>
        <w:b w:val="0"/>
        <w:i w:val="0"/>
        <w:sz w:val="20"/>
      </w:rPr>
    </w:lvl>
    <w:lvl w:ilvl="3">
      <w:start w:val="1"/>
      <w:numFmt w:val="lowerLetter"/>
      <w:pStyle w:val="Level4"/>
      <w:lvlText w:val="(%4)"/>
      <w:lvlJc w:val="left"/>
      <w:pPr>
        <w:tabs>
          <w:tab w:val="num" w:pos="709"/>
        </w:tabs>
        <w:ind w:left="709" w:hanging="709"/>
      </w:pPr>
      <w:rPr>
        <w:rFonts w:ascii="Arial" w:hAnsi="Arial" w:hint="default"/>
        <w:b w:val="0"/>
        <w:i w:val="0"/>
        <w:sz w:val="20"/>
      </w:rPr>
    </w:lvl>
    <w:lvl w:ilvl="4">
      <w:start w:val="1"/>
      <w:numFmt w:val="lowerRoman"/>
      <w:pStyle w:val="Level5"/>
      <w:lvlText w:val="(%5)"/>
      <w:lvlJc w:val="left"/>
      <w:pPr>
        <w:tabs>
          <w:tab w:val="num" w:pos="709"/>
        </w:tabs>
        <w:ind w:left="709" w:hanging="709"/>
      </w:pPr>
      <w:rPr>
        <w:rFonts w:ascii="Arial" w:hAnsi="Arial" w:hint="default"/>
        <w:b w:val="0"/>
        <w:i w:val="0"/>
        <w:sz w:val="20"/>
      </w:rPr>
    </w:lvl>
    <w:lvl w:ilvl="5">
      <w:start w:val="1"/>
      <w:numFmt w:val="decimal"/>
      <w:pStyle w:val="Level6"/>
      <w:lvlText w:val="(%6)"/>
      <w:lvlJc w:val="left"/>
      <w:pPr>
        <w:tabs>
          <w:tab w:val="num" w:pos="709"/>
        </w:tabs>
        <w:ind w:left="709" w:hanging="709"/>
      </w:pPr>
      <w:rPr>
        <w:rFonts w:ascii="Arial" w:hAnsi="Arial" w:hint="default"/>
        <w:b w:val="0"/>
        <w:i w:val="0"/>
        <w:sz w:val="20"/>
      </w:rPr>
    </w:lvl>
    <w:lvl w:ilvl="6">
      <w:start w:val="1"/>
      <w:numFmt w:val="upperLetter"/>
      <w:pStyle w:val="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0" w15:restartNumberingAfterBreak="0">
    <w:nsid w:val="239073BD"/>
    <w:multiLevelType w:val="hybridMultilevel"/>
    <w:tmpl w:val="7EE826DC"/>
    <w:lvl w:ilvl="0" w:tplc="99DE42BC">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27854B43"/>
    <w:multiLevelType w:val="multilevel"/>
    <w:tmpl w:val="FCDE6440"/>
    <w:name w:val="SCH5LT"/>
    <w:lvl w:ilvl="0">
      <w:start w:val="1"/>
      <w:numFmt w:val="decimal"/>
      <w:pStyle w:val="SCH5-LEVEL1"/>
      <w:lvlText w:val="%1"/>
      <w:lvlJc w:val="left"/>
      <w:pPr>
        <w:tabs>
          <w:tab w:val="num" w:pos="709"/>
        </w:tabs>
        <w:ind w:left="709" w:hanging="709"/>
      </w:pPr>
      <w:rPr>
        <w:rFonts w:ascii="Arial" w:hAnsi="Arial" w:hint="default"/>
        <w:b w:val="0"/>
        <w:i w:val="0"/>
        <w:sz w:val="22"/>
      </w:rPr>
    </w:lvl>
    <w:lvl w:ilvl="1">
      <w:start w:val="1"/>
      <w:numFmt w:val="decimal"/>
      <w:pStyle w:val="SCH5-LEVEL2"/>
      <w:lvlText w:val="%1.%2"/>
      <w:lvlJc w:val="left"/>
      <w:pPr>
        <w:tabs>
          <w:tab w:val="num" w:pos="709"/>
        </w:tabs>
        <w:ind w:left="709" w:hanging="709"/>
      </w:pPr>
      <w:rPr>
        <w:rFonts w:ascii="Arial" w:hAnsi="Arial" w:hint="default"/>
        <w:b w:val="0"/>
        <w:i w:val="0"/>
        <w:sz w:val="20"/>
      </w:rPr>
    </w:lvl>
    <w:lvl w:ilvl="2">
      <w:start w:val="1"/>
      <w:numFmt w:val="decimal"/>
      <w:pStyle w:val="SCH5-LEVEL3"/>
      <w:lvlText w:val="%1.%2.%3"/>
      <w:lvlJc w:val="left"/>
      <w:pPr>
        <w:tabs>
          <w:tab w:val="num" w:pos="709"/>
        </w:tabs>
        <w:ind w:left="709" w:hanging="709"/>
      </w:pPr>
      <w:rPr>
        <w:rFonts w:ascii="Arial" w:hAnsi="Arial" w:hint="default"/>
        <w:b w:val="0"/>
        <w:i w:val="0"/>
        <w:sz w:val="20"/>
      </w:rPr>
    </w:lvl>
    <w:lvl w:ilvl="3">
      <w:start w:val="1"/>
      <w:numFmt w:val="lowerLetter"/>
      <w:pStyle w:val="SCH5-LEVEL4"/>
      <w:lvlText w:val="(%4)"/>
      <w:lvlJc w:val="left"/>
      <w:pPr>
        <w:tabs>
          <w:tab w:val="num" w:pos="709"/>
        </w:tabs>
        <w:ind w:left="709" w:hanging="709"/>
      </w:pPr>
      <w:rPr>
        <w:rFonts w:ascii="Arial" w:hAnsi="Arial" w:hint="default"/>
        <w:b w:val="0"/>
        <w:i w:val="0"/>
        <w:sz w:val="20"/>
      </w:rPr>
    </w:lvl>
    <w:lvl w:ilvl="4">
      <w:start w:val="1"/>
      <w:numFmt w:val="lowerRoman"/>
      <w:pStyle w:val="SCH5-LEVEL5"/>
      <w:lvlText w:val="(%5)"/>
      <w:lvlJc w:val="left"/>
      <w:pPr>
        <w:tabs>
          <w:tab w:val="num" w:pos="709"/>
        </w:tabs>
        <w:ind w:left="709" w:hanging="709"/>
      </w:pPr>
      <w:rPr>
        <w:rFonts w:ascii="Arial" w:hAnsi="Arial" w:hint="default"/>
        <w:b w:val="0"/>
        <w:i w:val="0"/>
        <w:sz w:val="20"/>
      </w:rPr>
    </w:lvl>
    <w:lvl w:ilvl="5">
      <w:start w:val="1"/>
      <w:numFmt w:val="decimal"/>
      <w:pStyle w:val="SCH5-LEVEL6"/>
      <w:lvlText w:val="(%6)"/>
      <w:lvlJc w:val="left"/>
      <w:pPr>
        <w:tabs>
          <w:tab w:val="num" w:pos="709"/>
        </w:tabs>
        <w:ind w:left="709" w:hanging="709"/>
      </w:pPr>
      <w:rPr>
        <w:rFonts w:ascii="Arial" w:hAnsi="Arial" w:hint="default"/>
        <w:b w:val="0"/>
        <w:i w:val="0"/>
        <w:sz w:val="20"/>
      </w:rPr>
    </w:lvl>
    <w:lvl w:ilvl="6">
      <w:start w:val="1"/>
      <w:numFmt w:val="upperLetter"/>
      <w:pStyle w:val="SCH5-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2" w15:restartNumberingAfterBreak="0">
    <w:nsid w:val="2A286BDA"/>
    <w:multiLevelType w:val="multilevel"/>
    <w:tmpl w:val="0756C4B0"/>
    <w:name w:val="SCH2LT"/>
    <w:lvl w:ilvl="0">
      <w:start w:val="1"/>
      <w:numFmt w:val="decimal"/>
      <w:pStyle w:val="SCH2-LEVEL1"/>
      <w:lvlText w:val="%1"/>
      <w:lvlJc w:val="left"/>
      <w:pPr>
        <w:tabs>
          <w:tab w:val="num" w:pos="709"/>
        </w:tabs>
        <w:ind w:left="709" w:hanging="709"/>
      </w:pPr>
      <w:rPr>
        <w:rFonts w:ascii="Arial" w:hAnsi="Arial" w:hint="default"/>
        <w:b w:val="0"/>
        <w:i w:val="0"/>
        <w:sz w:val="22"/>
      </w:rPr>
    </w:lvl>
    <w:lvl w:ilvl="1">
      <w:start w:val="1"/>
      <w:numFmt w:val="decimal"/>
      <w:pStyle w:val="SCH2-LEVEL2"/>
      <w:lvlText w:val="%1.%2"/>
      <w:lvlJc w:val="left"/>
      <w:pPr>
        <w:tabs>
          <w:tab w:val="num" w:pos="709"/>
        </w:tabs>
        <w:ind w:left="709" w:hanging="709"/>
      </w:pPr>
      <w:rPr>
        <w:rFonts w:ascii="Arial" w:hAnsi="Arial" w:hint="default"/>
        <w:b w:val="0"/>
        <w:i w:val="0"/>
        <w:sz w:val="20"/>
      </w:rPr>
    </w:lvl>
    <w:lvl w:ilvl="2">
      <w:start w:val="1"/>
      <w:numFmt w:val="decimal"/>
      <w:pStyle w:val="SCH2-LEVEL3"/>
      <w:lvlText w:val="%1.%2.%3"/>
      <w:lvlJc w:val="left"/>
      <w:pPr>
        <w:tabs>
          <w:tab w:val="num" w:pos="709"/>
        </w:tabs>
        <w:ind w:left="709" w:hanging="709"/>
      </w:pPr>
      <w:rPr>
        <w:rFonts w:ascii="Arial" w:hAnsi="Arial" w:hint="default"/>
        <w:b w:val="0"/>
        <w:i w:val="0"/>
        <w:sz w:val="20"/>
      </w:rPr>
    </w:lvl>
    <w:lvl w:ilvl="3">
      <w:start w:val="1"/>
      <w:numFmt w:val="lowerLetter"/>
      <w:pStyle w:val="SCH2-LEVEL4"/>
      <w:lvlText w:val="(%4)"/>
      <w:lvlJc w:val="left"/>
      <w:pPr>
        <w:tabs>
          <w:tab w:val="num" w:pos="709"/>
        </w:tabs>
        <w:ind w:left="709" w:hanging="709"/>
      </w:pPr>
      <w:rPr>
        <w:rFonts w:ascii="Arial" w:hAnsi="Arial" w:hint="default"/>
        <w:b w:val="0"/>
        <w:i w:val="0"/>
        <w:sz w:val="20"/>
      </w:rPr>
    </w:lvl>
    <w:lvl w:ilvl="4">
      <w:start w:val="1"/>
      <w:numFmt w:val="lowerRoman"/>
      <w:pStyle w:val="SCH2-LEVEL5"/>
      <w:lvlText w:val="(%5)"/>
      <w:lvlJc w:val="left"/>
      <w:pPr>
        <w:tabs>
          <w:tab w:val="num" w:pos="709"/>
        </w:tabs>
        <w:ind w:left="709" w:hanging="709"/>
      </w:pPr>
      <w:rPr>
        <w:rFonts w:ascii="Arial" w:hAnsi="Arial" w:hint="default"/>
        <w:b w:val="0"/>
        <w:i w:val="0"/>
        <w:sz w:val="20"/>
      </w:rPr>
    </w:lvl>
    <w:lvl w:ilvl="5">
      <w:start w:val="1"/>
      <w:numFmt w:val="decimal"/>
      <w:pStyle w:val="SCH2-LEVEL6"/>
      <w:lvlText w:val="(%6)"/>
      <w:lvlJc w:val="left"/>
      <w:pPr>
        <w:tabs>
          <w:tab w:val="num" w:pos="709"/>
        </w:tabs>
        <w:ind w:left="709" w:hanging="709"/>
      </w:pPr>
      <w:rPr>
        <w:rFonts w:ascii="Arial" w:hAnsi="Arial" w:hint="default"/>
        <w:b w:val="0"/>
        <w:i w:val="0"/>
        <w:sz w:val="20"/>
      </w:rPr>
    </w:lvl>
    <w:lvl w:ilvl="6">
      <w:start w:val="1"/>
      <w:numFmt w:val="upperLetter"/>
      <w:pStyle w:val="SCH2-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3" w15:restartNumberingAfterBreak="0">
    <w:nsid w:val="2EB80AD5"/>
    <w:multiLevelType w:val="multilevel"/>
    <w:tmpl w:val="2C40EB80"/>
    <w:name w:val="MAMemlstListTemplate"/>
    <w:lvl w:ilvl="0">
      <w:start w:val="1"/>
      <w:numFmt w:val="decimal"/>
      <w:pStyle w:val="MA-MemoLevel1"/>
      <w:lvlText w:val="%1"/>
      <w:lvlJc w:val="left"/>
      <w:pPr>
        <w:tabs>
          <w:tab w:val="num" w:pos="709"/>
        </w:tabs>
        <w:ind w:left="709" w:hanging="709"/>
      </w:pPr>
      <w:rPr>
        <w:rFonts w:ascii="Arial" w:hAnsi="Arial" w:hint="default"/>
        <w:b w:val="0"/>
        <w:i w:val="0"/>
        <w:sz w:val="20"/>
      </w:rPr>
    </w:lvl>
    <w:lvl w:ilvl="1">
      <w:start w:val="1"/>
      <w:numFmt w:val="decimal"/>
      <w:pStyle w:val="MA-MemoLevel2"/>
      <w:lvlText w:val="%1.%2"/>
      <w:lvlJc w:val="left"/>
      <w:pPr>
        <w:tabs>
          <w:tab w:val="num" w:pos="709"/>
        </w:tabs>
        <w:ind w:left="709" w:hanging="709"/>
      </w:pPr>
      <w:rPr>
        <w:rFonts w:ascii="Arial" w:hAnsi="Arial" w:hint="default"/>
        <w:b w:val="0"/>
        <w:i w:val="0"/>
        <w:sz w:val="20"/>
      </w:rPr>
    </w:lvl>
    <w:lvl w:ilvl="2">
      <w:start w:val="1"/>
      <w:numFmt w:val="lowerLetter"/>
      <w:pStyle w:val="MA-MemoLevel3"/>
      <w:lvlText w:val="(%3)"/>
      <w:lvlJc w:val="left"/>
      <w:pPr>
        <w:tabs>
          <w:tab w:val="num" w:pos="709"/>
        </w:tabs>
        <w:ind w:left="709" w:hanging="709"/>
      </w:pPr>
      <w:rPr>
        <w:rFonts w:ascii="Arial" w:hAnsi="Arial" w:hint="default"/>
        <w:b w:val="0"/>
        <w:i w:val="0"/>
        <w:sz w:val="20"/>
      </w:rPr>
    </w:lvl>
    <w:lvl w:ilvl="3">
      <w:start w:val="1"/>
      <w:numFmt w:val="lowerRoman"/>
      <w:pStyle w:val="MA-MemoLevel4"/>
      <w:lvlText w:val="(%4)"/>
      <w:lvlJc w:val="left"/>
      <w:pPr>
        <w:tabs>
          <w:tab w:val="num" w:pos="709"/>
        </w:tabs>
        <w:ind w:left="709" w:hanging="709"/>
      </w:pPr>
      <w:rPr>
        <w:rFonts w:ascii="Arial" w:hAnsi="Arial" w:hint="default"/>
        <w:b w:val="0"/>
        <w:i w:val="0"/>
        <w:sz w:val="20"/>
      </w:rPr>
    </w:lvl>
    <w:lvl w:ilvl="4">
      <w:start w:val="1"/>
      <w:numFmt w:val="decimal"/>
      <w:pStyle w:val="MA-MemoLevel5"/>
      <w:lvlText w:val="(%5)"/>
      <w:lvlJc w:val="left"/>
      <w:pPr>
        <w:tabs>
          <w:tab w:val="num" w:pos="709"/>
        </w:tabs>
        <w:ind w:left="709" w:hanging="709"/>
      </w:pPr>
      <w:rPr>
        <w:rFonts w:ascii="Arial" w:hAnsi="Arial" w:hint="default"/>
        <w:b w:val="0"/>
        <w:i w:val="0"/>
        <w:sz w:val="20"/>
      </w:rPr>
    </w:lvl>
    <w:lvl w:ilvl="5">
      <w:start w:val="1"/>
      <w:numFmt w:val="upperLetter"/>
      <w:pStyle w:val="MA-MemoLevel6"/>
      <w:lvlText w:val="(%6)"/>
      <w:lvlJc w:val="left"/>
      <w:pPr>
        <w:tabs>
          <w:tab w:val="num" w:pos="709"/>
        </w:tabs>
        <w:ind w:left="709" w:hanging="709"/>
      </w:pPr>
      <w:rPr>
        <w:rFonts w:ascii="Arial" w:hAnsi="Arial" w:hint="default"/>
        <w:b w:val="0"/>
        <w:i w:val="0"/>
        <w:sz w:val="20"/>
      </w:rPr>
    </w:lvl>
    <w:lvl w:ilvl="6">
      <w:start w:val="1"/>
      <w:numFmt w:val="upperRoman"/>
      <w:pStyle w:val="MA-Memo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4" w15:restartNumberingAfterBreak="0">
    <w:nsid w:val="2F0875F3"/>
    <w:multiLevelType w:val="hybridMultilevel"/>
    <w:tmpl w:val="A2AADB24"/>
    <w:lvl w:ilvl="0" w:tplc="27CE70B8">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3589053A"/>
    <w:multiLevelType w:val="multilevel"/>
    <w:tmpl w:val="1D72F694"/>
    <w:name w:val="SCH6LT"/>
    <w:lvl w:ilvl="0">
      <w:start w:val="1"/>
      <w:numFmt w:val="decimal"/>
      <w:pStyle w:val="SCH6-LEVEL1"/>
      <w:lvlText w:val="%1"/>
      <w:lvlJc w:val="left"/>
      <w:pPr>
        <w:tabs>
          <w:tab w:val="num" w:pos="709"/>
        </w:tabs>
        <w:ind w:left="709" w:hanging="709"/>
      </w:pPr>
      <w:rPr>
        <w:rFonts w:ascii="Arial" w:hAnsi="Arial" w:hint="default"/>
        <w:b w:val="0"/>
        <w:i w:val="0"/>
        <w:sz w:val="22"/>
      </w:rPr>
    </w:lvl>
    <w:lvl w:ilvl="1">
      <w:start w:val="1"/>
      <w:numFmt w:val="decimal"/>
      <w:pStyle w:val="SCH6-LEVEL2"/>
      <w:lvlText w:val="%1.%2"/>
      <w:lvlJc w:val="left"/>
      <w:pPr>
        <w:tabs>
          <w:tab w:val="num" w:pos="709"/>
        </w:tabs>
        <w:ind w:left="709" w:hanging="709"/>
      </w:pPr>
      <w:rPr>
        <w:rFonts w:ascii="Arial" w:hAnsi="Arial" w:hint="default"/>
        <w:b w:val="0"/>
        <w:i w:val="0"/>
        <w:sz w:val="20"/>
      </w:rPr>
    </w:lvl>
    <w:lvl w:ilvl="2">
      <w:start w:val="1"/>
      <w:numFmt w:val="decimal"/>
      <w:pStyle w:val="SCH6-LEVEL3"/>
      <w:lvlText w:val="%1.%2.%3"/>
      <w:lvlJc w:val="left"/>
      <w:pPr>
        <w:tabs>
          <w:tab w:val="num" w:pos="709"/>
        </w:tabs>
        <w:ind w:left="709" w:hanging="709"/>
      </w:pPr>
      <w:rPr>
        <w:rFonts w:ascii="Arial" w:hAnsi="Arial" w:hint="default"/>
        <w:b w:val="0"/>
        <w:i w:val="0"/>
        <w:sz w:val="20"/>
      </w:rPr>
    </w:lvl>
    <w:lvl w:ilvl="3">
      <w:start w:val="1"/>
      <w:numFmt w:val="lowerLetter"/>
      <w:pStyle w:val="SCH6-LEVEL4"/>
      <w:lvlText w:val="(%4)"/>
      <w:lvlJc w:val="left"/>
      <w:pPr>
        <w:tabs>
          <w:tab w:val="num" w:pos="709"/>
        </w:tabs>
        <w:ind w:left="709" w:hanging="709"/>
      </w:pPr>
      <w:rPr>
        <w:rFonts w:ascii="Arial" w:hAnsi="Arial" w:hint="default"/>
        <w:b w:val="0"/>
        <w:i w:val="0"/>
        <w:sz w:val="20"/>
      </w:rPr>
    </w:lvl>
    <w:lvl w:ilvl="4">
      <w:start w:val="1"/>
      <w:numFmt w:val="lowerRoman"/>
      <w:pStyle w:val="SCH6-LEVEL5"/>
      <w:lvlText w:val="(%5)"/>
      <w:lvlJc w:val="left"/>
      <w:pPr>
        <w:tabs>
          <w:tab w:val="num" w:pos="709"/>
        </w:tabs>
        <w:ind w:left="709" w:hanging="709"/>
      </w:pPr>
      <w:rPr>
        <w:rFonts w:ascii="Arial" w:hAnsi="Arial" w:hint="default"/>
        <w:b w:val="0"/>
        <w:i w:val="0"/>
        <w:sz w:val="20"/>
      </w:rPr>
    </w:lvl>
    <w:lvl w:ilvl="5">
      <w:start w:val="1"/>
      <w:numFmt w:val="decimal"/>
      <w:pStyle w:val="SCH6-LEVEL6"/>
      <w:lvlText w:val="(%6)"/>
      <w:lvlJc w:val="left"/>
      <w:pPr>
        <w:tabs>
          <w:tab w:val="num" w:pos="709"/>
        </w:tabs>
        <w:ind w:left="709" w:hanging="709"/>
      </w:pPr>
      <w:rPr>
        <w:rFonts w:ascii="Arial" w:hAnsi="Arial" w:hint="default"/>
        <w:b w:val="0"/>
        <w:i w:val="0"/>
        <w:sz w:val="20"/>
      </w:rPr>
    </w:lvl>
    <w:lvl w:ilvl="6">
      <w:start w:val="1"/>
      <w:numFmt w:val="upperLetter"/>
      <w:pStyle w:val="SCH6-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26" w15:restartNumberingAfterBreak="0">
    <w:nsid w:val="38607E11"/>
    <w:multiLevelType w:val="multilevel"/>
    <w:tmpl w:val="FAA4F788"/>
    <w:name w:val="ArticleLT"/>
    <w:lvl w:ilvl="0">
      <w:start w:val="1"/>
      <w:numFmt w:val="decimal"/>
      <w:pStyle w:val="Article-Level1"/>
      <w:suff w:val="nothing"/>
      <w:lvlText w:val="Article %1"/>
      <w:lvlJc w:val="left"/>
      <w:pPr>
        <w:ind w:left="0" w:firstLine="0"/>
      </w:pPr>
      <w:rPr>
        <w:rFonts w:ascii="Arial" w:hAnsi="Arial" w:hint="default"/>
        <w:b/>
        <w:i w:val="0"/>
        <w:sz w:val="22"/>
      </w:rPr>
    </w:lvl>
    <w:lvl w:ilvl="1">
      <w:start w:val="1"/>
      <w:numFmt w:val="decimal"/>
      <w:pStyle w:val="Article-Level2"/>
      <w:lvlText w:val="%1.%2"/>
      <w:lvlJc w:val="left"/>
      <w:pPr>
        <w:tabs>
          <w:tab w:val="num" w:pos="709"/>
        </w:tabs>
        <w:ind w:left="709" w:hanging="709"/>
      </w:pPr>
      <w:rPr>
        <w:rFonts w:ascii="Arial" w:hAnsi="Arial" w:hint="default"/>
        <w:b w:val="0"/>
        <w:i w:val="0"/>
        <w:sz w:val="20"/>
      </w:rPr>
    </w:lvl>
    <w:lvl w:ilvl="2">
      <w:start w:val="1"/>
      <w:numFmt w:val="decimal"/>
      <w:pStyle w:val="Article-Level3"/>
      <w:lvlText w:val="%1.%2.%3"/>
      <w:lvlJc w:val="left"/>
      <w:pPr>
        <w:tabs>
          <w:tab w:val="num" w:pos="1418"/>
        </w:tabs>
        <w:ind w:left="1418" w:hanging="709"/>
      </w:pPr>
      <w:rPr>
        <w:rFonts w:ascii="Arial" w:hAnsi="Arial" w:hint="default"/>
        <w:b w:val="0"/>
        <w:i w:val="0"/>
        <w:sz w:val="20"/>
      </w:rPr>
    </w:lvl>
    <w:lvl w:ilvl="3">
      <w:start w:val="1"/>
      <w:numFmt w:val="lowerLetter"/>
      <w:pStyle w:val="Article-Level4"/>
      <w:lvlText w:val="(%4)"/>
      <w:lvlJc w:val="left"/>
      <w:pPr>
        <w:tabs>
          <w:tab w:val="num" w:pos="2126"/>
        </w:tabs>
        <w:ind w:left="2126" w:hanging="708"/>
      </w:pPr>
      <w:rPr>
        <w:rFonts w:ascii="Arial" w:hAnsi="Arial" w:hint="default"/>
        <w:b w:val="0"/>
        <w:i w:val="0"/>
        <w:sz w:val="20"/>
      </w:rPr>
    </w:lvl>
    <w:lvl w:ilvl="4">
      <w:start w:val="1"/>
      <w:numFmt w:val="lowerRoman"/>
      <w:pStyle w:val="Article-Level5"/>
      <w:lvlText w:val="(%5)"/>
      <w:lvlJc w:val="left"/>
      <w:pPr>
        <w:tabs>
          <w:tab w:val="num" w:pos="2835"/>
        </w:tabs>
        <w:ind w:left="2835" w:hanging="709"/>
      </w:pPr>
      <w:rPr>
        <w:rFonts w:ascii="Arial" w:hAnsi="Arial" w:hint="default"/>
        <w:b w:val="0"/>
        <w:i w:val="0"/>
        <w:sz w:val="20"/>
      </w:rPr>
    </w:lvl>
    <w:lvl w:ilvl="5">
      <w:start w:val="1"/>
      <w:numFmt w:val="upperLetter"/>
      <w:pStyle w:val="Article-Level6"/>
      <w:lvlText w:val="(%6)"/>
      <w:lvlJc w:val="left"/>
      <w:pPr>
        <w:tabs>
          <w:tab w:val="num" w:pos="3544"/>
        </w:tabs>
        <w:ind w:left="3544" w:hanging="709"/>
      </w:pPr>
      <w:rPr>
        <w:rFonts w:ascii="Arial" w:hAnsi="Arial" w:hint="default"/>
        <w:b w:val="0"/>
        <w:i w:val="0"/>
        <w:sz w:val="20"/>
      </w:rPr>
    </w:lvl>
    <w:lvl w:ilvl="6">
      <w:start w:val="1"/>
      <w:numFmt w:val="decimal"/>
      <w:pStyle w:val="Article-Level7"/>
      <w:lvlText w:val="(%7)"/>
      <w:lvlJc w:val="left"/>
      <w:pPr>
        <w:tabs>
          <w:tab w:val="num" w:pos="4253"/>
        </w:tabs>
        <w:ind w:left="4253" w:hanging="709"/>
      </w:pPr>
      <w:rPr>
        <w:rFonts w:ascii="Arial" w:hAnsi="Arial" w:hint="default"/>
        <w:b w:val="0"/>
        <w:i w:val="0"/>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97748AC"/>
    <w:multiLevelType w:val="multilevel"/>
    <w:tmpl w:val="BDDE9A50"/>
    <w:name w:val="RecitalsLT"/>
    <w:lvl w:ilvl="0">
      <w:start w:val="1"/>
      <w:numFmt w:val="upperLetter"/>
      <w:pStyle w:val="A-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28" w15:restartNumberingAfterBreak="0">
    <w:nsid w:val="3DA345AC"/>
    <w:multiLevelType w:val="hybridMultilevel"/>
    <w:tmpl w:val="8DDEF2DE"/>
    <w:lvl w:ilvl="0" w:tplc="63E829BE">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9" w15:restartNumberingAfterBreak="0">
    <w:nsid w:val="3ED770DA"/>
    <w:multiLevelType w:val="multilevel"/>
    <w:tmpl w:val="726E6352"/>
    <w:lvl w:ilvl="0">
      <w:start w:val="1"/>
      <w:numFmt w:val="decimal"/>
      <w:pStyle w:val="CERLEVEL1"/>
      <w:isLgl/>
      <w:lvlText w:val="%1."/>
      <w:lvlJc w:val="left"/>
      <w:pPr>
        <w:ind w:left="851" w:hanging="851"/>
      </w:pPr>
      <w:rPr>
        <w:rFonts w:hint="default"/>
        <w:b/>
        <w:i w:val="0"/>
        <w:sz w:val="24"/>
      </w:rPr>
    </w:lvl>
    <w:lvl w:ilvl="1">
      <w:start w:val="1"/>
      <w:numFmt w:val="decimal"/>
      <w:pStyle w:val="CERLEVEL2"/>
      <w:lvlText w:val="A.%1.%2"/>
      <w:lvlJc w:val="left"/>
      <w:pPr>
        <w:ind w:left="992" w:hanging="992"/>
      </w:pPr>
      <w:rPr>
        <w:rFonts w:hint="default"/>
        <w:b/>
        <w:i w:val="0"/>
        <w:sz w:val="22"/>
      </w:rPr>
    </w:lvl>
    <w:lvl w:ilvl="2">
      <w:start w:val="1"/>
      <w:numFmt w:val="decimal"/>
      <w:pStyle w:val="CERLEVEL3"/>
      <w:lvlText w:val="%1.%2.%3"/>
      <w:lvlJc w:val="left"/>
      <w:pPr>
        <w:ind w:left="1277" w:hanging="851"/>
      </w:pPr>
      <w:rPr>
        <w:rFonts w:hint="default"/>
      </w:rPr>
    </w:lvl>
    <w:lvl w:ilvl="3">
      <w:start w:val="1"/>
      <w:numFmt w:val="lowerLetter"/>
      <w:pStyle w:val="CERLEVEL4"/>
      <w:lvlText w:val="(%4)"/>
      <w:lvlJc w:val="left"/>
      <w:pPr>
        <w:ind w:left="1135" w:hanging="567"/>
      </w:pPr>
      <w:rPr>
        <w:rFonts w:cs="Times New Roman" w:hint="default"/>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pStyle w:val="CERLEVEL5"/>
      <w:lvlText w:val="%5."/>
      <w:lvlJc w:val="left"/>
      <w:pPr>
        <w:ind w:left="1494" w:hanging="360"/>
      </w:pPr>
      <w:rPr>
        <w:rFonts w:hint="default"/>
        <w:color w:val="auto"/>
      </w:rPr>
    </w:lvl>
    <w:lvl w:ilvl="5">
      <w:start w:val="1"/>
      <w:numFmt w:val="decimal"/>
      <w:pStyle w:val="CERLEVEL6"/>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41C44F5B"/>
    <w:multiLevelType w:val="multilevel"/>
    <w:tmpl w:val="32F66780"/>
    <w:name w:val="PartiesLT"/>
    <w:lvl w:ilvl="0">
      <w:start w:val="1"/>
      <w:numFmt w:val="decimal"/>
      <w:pStyle w:val="1-NUMBERING"/>
      <w:lvlText w:val="(%1)"/>
      <w:lvlJc w:val="left"/>
      <w:pPr>
        <w:tabs>
          <w:tab w:val="num" w:pos="709"/>
        </w:tabs>
        <w:ind w:left="709" w:hanging="709"/>
      </w:pPr>
      <w:rPr>
        <w:rFonts w:ascii="Arial" w:hAnsi="Arial" w:hint="default"/>
        <w:b w:val="0"/>
        <w:i w:val="0"/>
        <w:sz w:val="20"/>
      </w:rPr>
    </w:lvl>
    <w:lvl w:ilvl="1">
      <w:start w:val="1"/>
      <w:numFmt w:val="none"/>
      <w:lvlText w:val=""/>
      <w:lvlJc w:val="left"/>
      <w:pPr>
        <w:tabs>
          <w:tab w:val="num" w:pos="709"/>
        </w:tabs>
        <w:ind w:left="709" w:hanging="709"/>
      </w:pPr>
      <w:rPr>
        <w:rFonts w:hint="default"/>
      </w:rPr>
    </w:lvl>
    <w:lvl w:ilvl="2">
      <w:start w:val="1"/>
      <w:numFmt w:val="none"/>
      <w:lvlText w:val="%3"/>
      <w:lvlJc w:val="left"/>
      <w:pPr>
        <w:tabs>
          <w:tab w:val="num" w:pos="709"/>
        </w:tabs>
        <w:ind w:left="709" w:hanging="709"/>
      </w:pPr>
      <w:rPr>
        <w:rFonts w:hint="default"/>
      </w:rPr>
    </w:lvl>
    <w:lvl w:ilvl="3">
      <w:start w:val="1"/>
      <w:numFmt w:val="none"/>
      <w:lvlText w:val=""/>
      <w:lvlJc w:val="left"/>
      <w:pPr>
        <w:tabs>
          <w:tab w:val="num" w:pos="709"/>
        </w:tabs>
        <w:ind w:left="709" w:hanging="709"/>
      </w:pPr>
      <w:rPr>
        <w:rFonts w:hint="default"/>
      </w:rPr>
    </w:lvl>
    <w:lvl w:ilvl="4">
      <w:start w:val="1"/>
      <w:numFmt w:val="none"/>
      <w:pStyle w:val="CERLevel50"/>
      <w:lvlText w:val=""/>
      <w:lvlJc w:val="left"/>
      <w:pPr>
        <w:tabs>
          <w:tab w:val="num" w:pos="709"/>
        </w:tabs>
        <w:ind w:left="709" w:hanging="709"/>
      </w:pPr>
      <w:rPr>
        <w:rFonts w:hint="default"/>
      </w:rPr>
    </w:lvl>
    <w:lvl w:ilvl="5">
      <w:start w:val="1"/>
      <w:numFmt w:val="none"/>
      <w:lvlText w:val=""/>
      <w:lvlJc w:val="left"/>
      <w:pPr>
        <w:tabs>
          <w:tab w:val="num" w:pos="709"/>
        </w:tabs>
        <w:ind w:left="709" w:hanging="709"/>
      </w:pPr>
      <w:rPr>
        <w:rFonts w:hint="default"/>
      </w:rPr>
    </w:lvl>
    <w:lvl w:ilvl="6">
      <w:start w:val="1"/>
      <w:numFmt w:val="none"/>
      <w:lvlText w:val="%7"/>
      <w:lvlJc w:val="left"/>
      <w:pPr>
        <w:tabs>
          <w:tab w:val="num" w:pos="709"/>
        </w:tabs>
        <w:ind w:left="709" w:hanging="709"/>
      </w:pPr>
      <w:rPr>
        <w:rFonts w:hint="default"/>
      </w:rPr>
    </w:lvl>
    <w:lvl w:ilvl="7">
      <w:start w:val="1"/>
      <w:numFmt w:val="none"/>
      <w:lvlText w:val="%8"/>
      <w:lvlJc w:val="left"/>
      <w:pPr>
        <w:tabs>
          <w:tab w:val="num" w:pos="709"/>
        </w:tabs>
        <w:ind w:left="709" w:hanging="709"/>
      </w:pPr>
      <w:rPr>
        <w:rFonts w:hint="default"/>
      </w:rPr>
    </w:lvl>
    <w:lvl w:ilvl="8">
      <w:start w:val="1"/>
      <w:numFmt w:val="none"/>
      <w:lvlText w:val="%9"/>
      <w:lvlJc w:val="left"/>
      <w:pPr>
        <w:tabs>
          <w:tab w:val="num" w:pos="709"/>
        </w:tabs>
        <w:ind w:left="709" w:hanging="709"/>
      </w:pPr>
      <w:rPr>
        <w:rFonts w:hint="default"/>
      </w:rPr>
    </w:lvl>
  </w:abstractNum>
  <w:abstractNum w:abstractNumId="31" w15:restartNumberingAfterBreak="0">
    <w:nsid w:val="421C79EB"/>
    <w:multiLevelType w:val="multilevel"/>
    <w:tmpl w:val="2E14FB70"/>
    <w:lvl w:ilvl="0">
      <w:start w:val="1"/>
      <w:numFmt w:val="decimal"/>
      <w:isLgl/>
      <w:lvlText w:val="%1."/>
      <w:lvlJc w:val="left"/>
      <w:pPr>
        <w:ind w:left="851" w:hanging="851"/>
      </w:pPr>
      <w:rPr>
        <w:rFonts w:hint="default"/>
        <w:b/>
        <w:i w:val="0"/>
        <w:sz w:val="24"/>
      </w:rPr>
    </w:lvl>
    <w:lvl w:ilvl="1">
      <w:start w:val="1"/>
      <w:numFmt w:val="decimal"/>
      <w:lvlText w:val="A.%1.%2"/>
      <w:lvlJc w:val="left"/>
      <w:pPr>
        <w:ind w:left="992" w:hanging="992"/>
      </w:pPr>
      <w:rPr>
        <w:rFonts w:hint="default"/>
        <w:b/>
        <w:i w:val="0"/>
        <w:sz w:val="22"/>
      </w:rPr>
    </w:lvl>
    <w:lvl w:ilvl="2">
      <w:start w:val="1"/>
      <w:numFmt w:val="decimal"/>
      <w:lvlText w:val="%1.%2.%3"/>
      <w:lvlJc w:val="left"/>
      <w:pPr>
        <w:ind w:left="1277" w:hanging="851"/>
      </w:pPr>
      <w:rPr>
        <w:rFonts w:hint="default"/>
      </w:rPr>
    </w:lvl>
    <w:lvl w:ilvl="3">
      <w:start w:val="1"/>
      <w:numFmt w:val="lowerLetter"/>
      <w:lvlText w:val="(%4)"/>
      <w:lvlJc w:val="left"/>
      <w:pPr>
        <w:ind w:left="1135" w:hanging="567"/>
      </w:pPr>
      <w:rPr>
        <w:rFonts w:cs="Times New Roman"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ind w:left="1494" w:hanging="360"/>
      </w:pPr>
      <w:rPr>
        <w:rFonts w:hint="default"/>
        <w:color w:val="auto"/>
      </w:rPr>
    </w:lvl>
    <w:lvl w:ilvl="5">
      <w:start w:val="1"/>
      <w:numFmt w:val="decimal"/>
      <w:lvlText w:val="%6."/>
      <w:lvlJc w:val="left"/>
      <w:pPr>
        <w:ind w:left="1778"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42E04835"/>
    <w:multiLevelType w:val="multilevel"/>
    <w:tmpl w:val="4A8EBB82"/>
    <w:name w:val="MAArtsLT"/>
    <w:lvl w:ilvl="0">
      <w:start w:val="1"/>
      <w:numFmt w:val="decimal"/>
      <w:pStyle w:val="MA-ArtsLevel1"/>
      <w:lvlText w:val="%1"/>
      <w:lvlJc w:val="left"/>
      <w:pPr>
        <w:tabs>
          <w:tab w:val="num" w:pos="709"/>
        </w:tabs>
        <w:ind w:left="709" w:hanging="709"/>
      </w:pPr>
      <w:rPr>
        <w:rFonts w:ascii="Arial" w:hAnsi="Arial" w:hint="default"/>
        <w:b w:val="0"/>
        <w:i w:val="0"/>
        <w:sz w:val="20"/>
      </w:rPr>
    </w:lvl>
    <w:lvl w:ilvl="1">
      <w:start w:val="1"/>
      <w:numFmt w:val="decimal"/>
      <w:pStyle w:val="MA-ArtsLevel2"/>
      <w:lvlText w:val="%1.%2"/>
      <w:lvlJc w:val="left"/>
      <w:pPr>
        <w:tabs>
          <w:tab w:val="num" w:pos="709"/>
        </w:tabs>
        <w:ind w:left="709" w:hanging="709"/>
      </w:pPr>
      <w:rPr>
        <w:rFonts w:ascii="Arial" w:hAnsi="Arial" w:hint="default"/>
        <w:b w:val="0"/>
        <w:i w:val="0"/>
        <w:sz w:val="20"/>
      </w:rPr>
    </w:lvl>
    <w:lvl w:ilvl="2">
      <w:start w:val="1"/>
      <w:numFmt w:val="lowerLetter"/>
      <w:pStyle w:val="MA-ArtsLevel3"/>
      <w:lvlText w:val="(%3)"/>
      <w:lvlJc w:val="left"/>
      <w:pPr>
        <w:tabs>
          <w:tab w:val="num" w:pos="709"/>
        </w:tabs>
        <w:ind w:left="709" w:hanging="709"/>
      </w:pPr>
      <w:rPr>
        <w:rFonts w:ascii="Arial" w:hAnsi="Arial" w:hint="default"/>
        <w:b w:val="0"/>
        <w:i w:val="0"/>
        <w:sz w:val="20"/>
      </w:rPr>
    </w:lvl>
    <w:lvl w:ilvl="3">
      <w:start w:val="1"/>
      <w:numFmt w:val="lowerRoman"/>
      <w:pStyle w:val="MA-ArtsLevel4"/>
      <w:lvlText w:val="(%4)"/>
      <w:lvlJc w:val="left"/>
      <w:pPr>
        <w:tabs>
          <w:tab w:val="num" w:pos="709"/>
        </w:tabs>
        <w:ind w:left="709" w:hanging="709"/>
      </w:pPr>
      <w:rPr>
        <w:rFonts w:ascii="Arial" w:hAnsi="Arial" w:hint="default"/>
        <w:b w:val="0"/>
        <w:i w:val="0"/>
        <w:sz w:val="20"/>
      </w:rPr>
    </w:lvl>
    <w:lvl w:ilvl="4">
      <w:start w:val="1"/>
      <w:numFmt w:val="decimal"/>
      <w:pStyle w:val="MA-ArtsLevel5"/>
      <w:lvlText w:val="(%5)"/>
      <w:lvlJc w:val="left"/>
      <w:pPr>
        <w:tabs>
          <w:tab w:val="num" w:pos="709"/>
        </w:tabs>
        <w:ind w:left="709" w:hanging="709"/>
      </w:pPr>
      <w:rPr>
        <w:rFonts w:ascii="Arial" w:hAnsi="Arial" w:hint="default"/>
        <w:b w:val="0"/>
        <w:i w:val="0"/>
        <w:sz w:val="20"/>
      </w:rPr>
    </w:lvl>
    <w:lvl w:ilvl="5">
      <w:start w:val="1"/>
      <w:numFmt w:val="upperLetter"/>
      <w:pStyle w:val="MA-ArtsLevel6"/>
      <w:lvlText w:val="(%6)"/>
      <w:lvlJc w:val="left"/>
      <w:pPr>
        <w:tabs>
          <w:tab w:val="num" w:pos="709"/>
        </w:tabs>
        <w:ind w:left="709" w:hanging="709"/>
      </w:pPr>
      <w:rPr>
        <w:rFonts w:ascii="Arial" w:hAnsi="Arial" w:hint="default"/>
        <w:b w:val="0"/>
        <w:i w:val="0"/>
        <w:sz w:val="20"/>
      </w:rPr>
    </w:lvl>
    <w:lvl w:ilvl="6">
      <w:start w:val="1"/>
      <w:numFmt w:val="upperRoman"/>
      <w:pStyle w:val="MA-Arts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33" w15:restartNumberingAfterBreak="0">
    <w:nsid w:val="44C633E4"/>
    <w:multiLevelType w:val="multilevel"/>
    <w:tmpl w:val="281E7EDE"/>
    <w:name w:val="SCH2HeadingLT"/>
    <w:lvl w:ilvl="0">
      <w:start w:val="1"/>
      <w:numFmt w:val="decimal"/>
      <w:pStyle w:val="SCH2-MAINHEAD"/>
      <w:suff w:val="nothing"/>
      <w:lvlText w:val="Schedule %1"/>
      <w:lvlJc w:val="left"/>
      <w:pPr>
        <w:ind w:left="0" w:firstLine="0"/>
      </w:pPr>
      <w:rPr>
        <w:rFonts w:ascii="Arial" w:hAnsi="Arial" w:hint="default"/>
        <w:b/>
        <w:i w:val="0"/>
        <w:sz w:val="22"/>
      </w:rPr>
    </w:lvl>
    <w:lvl w:ilvl="1">
      <w:start w:val="1"/>
      <w:numFmt w:val="none"/>
      <w:pStyle w:val="SCH2-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5DC5986"/>
    <w:multiLevelType w:val="multilevel"/>
    <w:tmpl w:val="8F7E7860"/>
    <w:name w:val="SCH7HeadingLT"/>
    <w:lvl w:ilvl="0">
      <w:start w:val="1"/>
      <w:numFmt w:val="decimal"/>
      <w:pStyle w:val="SCH7-MAINHEAD"/>
      <w:suff w:val="nothing"/>
      <w:lvlText w:val="Schedule %1"/>
      <w:lvlJc w:val="left"/>
      <w:pPr>
        <w:ind w:left="0" w:firstLine="0"/>
      </w:pPr>
      <w:rPr>
        <w:rFonts w:ascii="Arial" w:hAnsi="Arial" w:hint="default"/>
        <w:b/>
        <w:i w:val="0"/>
        <w:sz w:val="22"/>
      </w:rPr>
    </w:lvl>
    <w:lvl w:ilvl="1">
      <w:start w:val="1"/>
      <w:numFmt w:val="none"/>
      <w:pStyle w:val="SCH7-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4834268F"/>
    <w:multiLevelType w:val="multilevel"/>
    <w:tmpl w:val="ADECCEC2"/>
    <w:name w:val="SCH6HeadingLT"/>
    <w:lvl w:ilvl="0">
      <w:start w:val="1"/>
      <w:numFmt w:val="decimal"/>
      <w:pStyle w:val="SCH6-MAINHEAD"/>
      <w:suff w:val="nothing"/>
      <w:lvlText w:val="Schedule %1"/>
      <w:lvlJc w:val="left"/>
      <w:pPr>
        <w:ind w:left="0" w:firstLine="0"/>
      </w:pPr>
      <w:rPr>
        <w:rFonts w:ascii="Arial" w:hAnsi="Arial" w:hint="default"/>
        <w:b/>
        <w:i w:val="0"/>
        <w:sz w:val="22"/>
      </w:rPr>
    </w:lvl>
    <w:lvl w:ilvl="1">
      <w:start w:val="1"/>
      <w:numFmt w:val="none"/>
      <w:pStyle w:val="SCH6-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4D311A7C"/>
    <w:multiLevelType w:val="multilevel"/>
    <w:tmpl w:val="80F46F3A"/>
    <w:name w:val="SCH5HeadingLT"/>
    <w:lvl w:ilvl="0">
      <w:start w:val="1"/>
      <w:numFmt w:val="decimal"/>
      <w:pStyle w:val="SCH5-MAINHEAD"/>
      <w:suff w:val="nothing"/>
      <w:lvlText w:val="Schedule %1"/>
      <w:lvlJc w:val="left"/>
      <w:pPr>
        <w:ind w:left="0" w:firstLine="0"/>
      </w:pPr>
      <w:rPr>
        <w:rFonts w:ascii="Arial" w:hAnsi="Arial" w:hint="default"/>
        <w:b/>
        <w:i w:val="0"/>
        <w:sz w:val="22"/>
      </w:rPr>
    </w:lvl>
    <w:lvl w:ilvl="1">
      <w:start w:val="1"/>
      <w:numFmt w:val="none"/>
      <w:pStyle w:val="SCH5-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D765DBA"/>
    <w:multiLevelType w:val="hybridMultilevel"/>
    <w:tmpl w:val="432EA8C4"/>
    <w:lvl w:ilvl="0" w:tplc="1C9E44CE">
      <w:start w:val="1"/>
      <w:numFmt w:val="lowerLetter"/>
      <w:pStyle w:val="CERAppendixLevel2"/>
      <w:lvlText w:val="(%1)"/>
      <w:lvlJc w:val="left"/>
      <w:pPr>
        <w:ind w:left="1496" w:hanging="504"/>
      </w:pPr>
      <w:rPr>
        <w:rFonts w:hint="default"/>
      </w:rPr>
    </w:lvl>
    <w:lvl w:ilvl="1" w:tplc="18090019">
      <w:start w:val="1"/>
      <w:numFmt w:val="lowerLetter"/>
      <w:lvlText w:val="%2."/>
      <w:lvlJc w:val="left"/>
      <w:pPr>
        <w:ind w:left="2072" w:hanging="360"/>
      </w:pPr>
    </w:lvl>
    <w:lvl w:ilvl="2" w:tplc="1809001B" w:tentative="1">
      <w:start w:val="1"/>
      <w:numFmt w:val="lowerRoman"/>
      <w:lvlText w:val="%3."/>
      <w:lvlJc w:val="right"/>
      <w:pPr>
        <w:ind w:left="2792" w:hanging="180"/>
      </w:pPr>
    </w:lvl>
    <w:lvl w:ilvl="3" w:tplc="1809000F" w:tentative="1">
      <w:start w:val="1"/>
      <w:numFmt w:val="decimal"/>
      <w:lvlText w:val="%4."/>
      <w:lvlJc w:val="left"/>
      <w:pPr>
        <w:ind w:left="3512" w:hanging="360"/>
      </w:pPr>
    </w:lvl>
    <w:lvl w:ilvl="4" w:tplc="18090019">
      <w:start w:val="1"/>
      <w:numFmt w:val="lowerLetter"/>
      <w:lvlText w:val="%5."/>
      <w:lvlJc w:val="left"/>
      <w:pPr>
        <w:ind w:left="4232" w:hanging="360"/>
      </w:pPr>
    </w:lvl>
    <w:lvl w:ilvl="5" w:tplc="1809001B">
      <w:start w:val="1"/>
      <w:numFmt w:val="lowerRoman"/>
      <w:lvlText w:val="%6."/>
      <w:lvlJc w:val="right"/>
      <w:pPr>
        <w:ind w:left="4952" w:hanging="180"/>
      </w:pPr>
    </w:lvl>
    <w:lvl w:ilvl="6" w:tplc="1809000F">
      <w:start w:val="1"/>
      <w:numFmt w:val="decimal"/>
      <w:lvlText w:val="%7."/>
      <w:lvlJc w:val="left"/>
      <w:pPr>
        <w:ind w:left="5672" w:hanging="360"/>
      </w:pPr>
    </w:lvl>
    <w:lvl w:ilvl="7" w:tplc="18090019" w:tentative="1">
      <w:start w:val="1"/>
      <w:numFmt w:val="lowerLetter"/>
      <w:lvlText w:val="%8."/>
      <w:lvlJc w:val="left"/>
      <w:pPr>
        <w:ind w:left="6392" w:hanging="360"/>
      </w:pPr>
    </w:lvl>
    <w:lvl w:ilvl="8" w:tplc="1809001B" w:tentative="1">
      <w:start w:val="1"/>
      <w:numFmt w:val="lowerRoman"/>
      <w:lvlText w:val="%9."/>
      <w:lvlJc w:val="right"/>
      <w:pPr>
        <w:ind w:left="7112" w:hanging="180"/>
      </w:pPr>
    </w:lvl>
  </w:abstractNum>
  <w:abstractNum w:abstractNumId="38" w15:restartNumberingAfterBreak="0">
    <w:nsid w:val="51E3348F"/>
    <w:multiLevelType w:val="hybridMultilevel"/>
    <w:tmpl w:val="F79CDB46"/>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549C1DAA"/>
    <w:multiLevelType w:val="multilevel"/>
    <w:tmpl w:val="D20230CE"/>
    <w:name w:val="SCH8LT"/>
    <w:lvl w:ilvl="0">
      <w:start w:val="1"/>
      <w:numFmt w:val="decimal"/>
      <w:pStyle w:val="SCH8-LEVEL1"/>
      <w:lvlText w:val="%1"/>
      <w:lvlJc w:val="left"/>
      <w:pPr>
        <w:tabs>
          <w:tab w:val="num" w:pos="709"/>
        </w:tabs>
        <w:ind w:left="709" w:hanging="709"/>
      </w:pPr>
      <w:rPr>
        <w:rFonts w:ascii="Arial" w:hAnsi="Arial" w:hint="default"/>
        <w:b w:val="0"/>
        <w:i w:val="0"/>
        <w:sz w:val="22"/>
      </w:rPr>
    </w:lvl>
    <w:lvl w:ilvl="1">
      <w:start w:val="1"/>
      <w:numFmt w:val="decimal"/>
      <w:pStyle w:val="SCH8-LEVEL2"/>
      <w:lvlText w:val="%1.%2"/>
      <w:lvlJc w:val="left"/>
      <w:pPr>
        <w:tabs>
          <w:tab w:val="num" w:pos="709"/>
        </w:tabs>
        <w:ind w:left="709" w:hanging="709"/>
      </w:pPr>
      <w:rPr>
        <w:rFonts w:ascii="Arial" w:hAnsi="Arial" w:hint="default"/>
        <w:b w:val="0"/>
        <w:i w:val="0"/>
        <w:sz w:val="20"/>
      </w:rPr>
    </w:lvl>
    <w:lvl w:ilvl="2">
      <w:start w:val="1"/>
      <w:numFmt w:val="decimal"/>
      <w:pStyle w:val="SCH8-LEVEL3"/>
      <w:lvlText w:val="%1.%2.%3"/>
      <w:lvlJc w:val="left"/>
      <w:pPr>
        <w:tabs>
          <w:tab w:val="num" w:pos="709"/>
        </w:tabs>
        <w:ind w:left="709" w:hanging="709"/>
      </w:pPr>
      <w:rPr>
        <w:rFonts w:ascii="Arial" w:hAnsi="Arial" w:hint="default"/>
        <w:b w:val="0"/>
        <w:i w:val="0"/>
        <w:sz w:val="20"/>
      </w:rPr>
    </w:lvl>
    <w:lvl w:ilvl="3">
      <w:start w:val="1"/>
      <w:numFmt w:val="lowerLetter"/>
      <w:pStyle w:val="SCH8-LEVEL4"/>
      <w:lvlText w:val="(%4)"/>
      <w:lvlJc w:val="left"/>
      <w:pPr>
        <w:tabs>
          <w:tab w:val="num" w:pos="709"/>
        </w:tabs>
        <w:ind w:left="709" w:hanging="709"/>
      </w:pPr>
      <w:rPr>
        <w:rFonts w:ascii="Arial" w:hAnsi="Arial" w:hint="default"/>
        <w:b w:val="0"/>
        <w:i w:val="0"/>
        <w:sz w:val="20"/>
      </w:rPr>
    </w:lvl>
    <w:lvl w:ilvl="4">
      <w:start w:val="1"/>
      <w:numFmt w:val="lowerRoman"/>
      <w:pStyle w:val="SCH8-LEVEL5"/>
      <w:lvlText w:val="(%5)"/>
      <w:lvlJc w:val="left"/>
      <w:pPr>
        <w:tabs>
          <w:tab w:val="num" w:pos="709"/>
        </w:tabs>
        <w:ind w:left="709" w:hanging="709"/>
      </w:pPr>
      <w:rPr>
        <w:rFonts w:ascii="Arial" w:hAnsi="Arial" w:hint="default"/>
        <w:b w:val="0"/>
        <w:i w:val="0"/>
        <w:sz w:val="20"/>
      </w:rPr>
    </w:lvl>
    <w:lvl w:ilvl="5">
      <w:start w:val="1"/>
      <w:numFmt w:val="decimal"/>
      <w:pStyle w:val="SCH8-LEVEL6"/>
      <w:lvlText w:val="(%6)"/>
      <w:lvlJc w:val="left"/>
      <w:pPr>
        <w:tabs>
          <w:tab w:val="num" w:pos="709"/>
        </w:tabs>
        <w:ind w:left="709" w:hanging="709"/>
      </w:pPr>
      <w:rPr>
        <w:rFonts w:ascii="Arial" w:hAnsi="Arial" w:hint="default"/>
        <w:b w:val="0"/>
        <w:i w:val="0"/>
        <w:sz w:val="20"/>
      </w:rPr>
    </w:lvl>
    <w:lvl w:ilvl="6">
      <w:start w:val="1"/>
      <w:numFmt w:val="upperLetter"/>
      <w:pStyle w:val="SCH8-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0" w15:restartNumberingAfterBreak="0">
    <w:nsid w:val="557352D6"/>
    <w:multiLevelType w:val="multilevel"/>
    <w:tmpl w:val="3732D322"/>
    <w:name w:val="SCH3LT"/>
    <w:lvl w:ilvl="0">
      <w:start w:val="1"/>
      <w:numFmt w:val="decimal"/>
      <w:pStyle w:val="SCH3-LEVEL1"/>
      <w:lvlText w:val="%1"/>
      <w:lvlJc w:val="left"/>
      <w:pPr>
        <w:tabs>
          <w:tab w:val="num" w:pos="709"/>
        </w:tabs>
        <w:ind w:left="709" w:hanging="709"/>
      </w:pPr>
      <w:rPr>
        <w:rFonts w:ascii="Arial" w:hAnsi="Arial" w:hint="default"/>
        <w:b w:val="0"/>
        <w:i w:val="0"/>
        <w:sz w:val="22"/>
      </w:rPr>
    </w:lvl>
    <w:lvl w:ilvl="1">
      <w:start w:val="1"/>
      <w:numFmt w:val="decimal"/>
      <w:pStyle w:val="SCH3-LEVEL2"/>
      <w:lvlText w:val="%1.%2"/>
      <w:lvlJc w:val="left"/>
      <w:pPr>
        <w:tabs>
          <w:tab w:val="num" w:pos="709"/>
        </w:tabs>
        <w:ind w:left="709" w:hanging="709"/>
      </w:pPr>
      <w:rPr>
        <w:rFonts w:ascii="Arial" w:hAnsi="Arial" w:hint="default"/>
        <w:b w:val="0"/>
        <w:i w:val="0"/>
        <w:sz w:val="20"/>
      </w:rPr>
    </w:lvl>
    <w:lvl w:ilvl="2">
      <w:start w:val="1"/>
      <w:numFmt w:val="decimal"/>
      <w:pStyle w:val="SCH3-LEVEL3"/>
      <w:lvlText w:val="%1.%2.%3"/>
      <w:lvlJc w:val="left"/>
      <w:pPr>
        <w:tabs>
          <w:tab w:val="num" w:pos="709"/>
        </w:tabs>
        <w:ind w:left="709" w:hanging="709"/>
      </w:pPr>
      <w:rPr>
        <w:rFonts w:ascii="Arial" w:hAnsi="Arial" w:hint="default"/>
        <w:b w:val="0"/>
        <w:i w:val="0"/>
        <w:sz w:val="20"/>
      </w:rPr>
    </w:lvl>
    <w:lvl w:ilvl="3">
      <w:start w:val="1"/>
      <w:numFmt w:val="lowerLetter"/>
      <w:pStyle w:val="SCH3-LEVEL4"/>
      <w:lvlText w:val="(%4)"/>
      <w:lvlJc w:val="left"/>
      <w:pPr>
        <w:tabs>
          <w:tab w:val="num" w:pos="709"/>
        </w:tabs>
        <w:ind w:left="709" w:hanging="709"/>
      </w:pPr>
      <w:rPr>
        <w:rFonts w:ascii="Arial" w:hAnsi="Arial" w:hint="default"/>
        <w:b w:val="0"/>
        <w:i w:val="0"/>
        <w:sz w:val="20"/>
      </w:rPr>
    </w:lvl>
    <w:lvl w:ilvl="4">
      <w:start w:val="1"/>
      <w:numFmt w:val="lowerRoman"/>
      <w:pStyle w:val="SCH3-LEVEL5"/>
      <w:lvlText w:val="(%5)"/>
      <w:lvlJc w:val="left"/>
      <w:pPr>
        <w:tabs>
          <w:tab w:val="num" w:pos="709"/>
        </w:tabs>
        <w:ind w:left="709" w:hanging="709"/>
      </w:pPr>
      <w:rPr>
        <w:rFonts w:ascii="Arial" w:hAnsi="Arial" w:hint="default"/>
        <w:b w:val="0"/>
        <w:i w:val="0"/>
        <w:sz w:val="20"/>
      </w:rPr>
    </w:lvl>
    <w:lvl w:ilvl="5">
      <w:start w:val="1"/>
      <w:numFmt w:val="decimal"/>
      <w:pStyle w:val="SCH3-LEVEL6"/>
      <w:lvlText w:val="(%6)"/>
      <w:lvlJc w:val="left"/>
      <w:pPr>
        <w:tabs>
          <w:tab w:val="num" w:pos="709"/>
        </w:tabs>
        <w:ind w:left="709" w:hanging="709"/>
      </w:pPr>
      <w:rPr>
        <w:rFonts w:ascii="Arial" w:hAnsi="Arial" w:hint="default"/>
        <w:b w:val="0"/>
        <w:i w:val="0"/>
        <w:sz w:val="20"/>
      </w:rPr>
    </w:lvl>
    <w:lvl w:ilvl="6">
      <w:start w:val="1"/>
      <w:numFmt w:val="upperLetter"/>
      <w:pStyle w:val="SCH3-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1" w15:restartNumberingAfterBreak="0">
    <w:nsid w:val="55A723C2"/>
    <w:multiLevelType w:val="multilevel"/>
    <w:tmpl w:val="6980D486"/>
    <w:name w:val="BulletLT"/>
    <w:lvl w:ilvl="0">
      <w:start w:val="1"/>
      <w:numFmt w:val="bullet"/>
      <w:pStyle w:val="Bullet1"/>
      <w:lvlText w:val=""/>
      <w:lvlJc w:val="left"/>
      <w:pPr>
        <w:tabs>
          <w:tab w:val="num" w:pos="709"/>
        </w:tabs>
        <w:ind w:left="709" w:hanging="709"/>
      </w:pPr>
      <w:rPr>
        <w:rFonts w:ascii="Wingdings" w:hAnsi="Wingdings" w:hint="default"/>
        <w:b w:val="0"/>
        <w:i w:val="0"/>
        <w:sz w:val="20"/>
      </w:rPr>
    </w:lvl>
    <w:lvl w:ilvl="1">
      <w:start w:val="1"/>
      <w:numFmt w:val="bullet"/>
      <w:pStyle w:val="Bullet2"/>
      <w:lvlText w:val=""/>
      <w:lvlJc w:val="left"/>
      <w:pPr>
        <w:tabs>
          <w:tab w:val="num" w:pos="1418"/>
        </w:tabs>
        <w:ind w:left="1418" w:hanging="709"/>
      </w:pPr>
      <w:rPr>
        <w:rFonts w:ascii="Wingdings" w:hAnsi="Wingdings" w:hint="default"/>
        <w:b w:val="0"/>
        <w:i w:val="0"/>
        <w:sz w:val="20"/>
      </w:rPr>
    </w:lvl>
    <w:lvl w:ilvl="2">
      <w:start w:val="1"/>
      <w:numFmt w:val="bullet"/>
      <w:pStyle w:val="Bullet3"/>
      <w:lvlText w:val=""/>
      <w:lvlJc w:val="left"/>
      <w:pPr>
        <w:tabs>
          <w:tab w:val="num" w:pos="2127"/>
        </w:tabs>
        <w:ind w:left="2127" w:hanging="709"/>
      </w:pPr>
      <w:rPr>
        <w:rFonts w:ascii="Wingdings" w:hAnsi="Wingdings" w:hint="default"/>
        <w:b w:val="0"/>
        <w:i w:val="0"/>
        <w:sz w:val="20"/>
      </w:rPr>
    </w:lvl>
    <w:lvl w:ilvl="3">
      <w:start w:val="1"/>
      <w:numFmt w:val="bullet"/>
      <w:pStyle w:val="Bullet4"/>
      <w:lvlText w:val=""/>
      <w:lvlJc w:val="left"/>
      <w:pPr>
        <w:tabs>
          <w:tab w:val="num" w:pos="2836"/>
        </w:tabs>
        <w:ind w:left="2836" w:hanging="709"/>
      </w:pPr>
      <w:rPr>
        <w:rFonts w:ascii="Wingdings" w:hAnsi="Wingdings" w:hint="default"/>
        <w:b w:val="0"/>
        <w:i w:val="0"/>
        <w:sz w:val="20"/>
      </w:rPr>
    </w:lvl>
    <w:lvl w:ilvl="4">
      <w:start w:val="1"/>
      <w:numFmt w:val="bullet"/>
      <w:pStyle w:val="Bullet5"/>
      <w:lvlText w:val=""/>
      <w:lvlJc w:val="left"/>
      <w:pPr>
        <w:tabs>
          <w:tab w:val="num" w:pos="3545"/>
        </w:tabs>
        <w:ind w:left="3545" w:hanging="709"/>
      </w:pPr>
      <w:rPr>
        <w:rFonts w:ascii="Wingdings" w:hAnsi="Wingdings" w:hint="default"/>
        <w:b w:val="0"/>
        <w:i w:val="0"/>
        <w:sz w:val="20"/>
      </w:rPr>
    </w:lvl>
    <w:lvl w:ilvl="5">
      <w:start w:val="1"/>
      <w:numFmt w:val="bullet"/>
      <w:pStyle w:val="Bullet6"/>
      <w:lvlText w:val=""/>
      <w:lvlJc w:val="left"/>
      <w:pPr>
        <w:tabs>
          <w:tab w:val="num" w:pos="4254"/>
        </w:tabs>
        <w:ind w:left="4254" w:hanging="709"/>
      </w:pPr>
      <w:rPr>
        <w:rFonts w:ascii="Wingdings" w:hAnsi="Wingdings" w:hint="default"/>
        <w:b w:val="0"/>
        <w:i w:val="0"/>
        <w:sz w:val="20"/>
      </w:rPr>
    </w:lvl>
    <w:lvl w:ilvl="6">
      <w:start w:val="1"/>
      <w:numFmt w:val="bullet"/>
      <w:pStyle w:val="Bullet7"/>
      <w:lvlText w:val=""/>
      <w:lvlJc w:val="left"/>
      <w:pPr>
        <w:tabs>
          <w:tab w:val="num" w:pos="4963"/>
        </w:tabs>
        <w:ind w:left="4963" w:hanging="709"/>
      </w:pPr>
      <w:rPr>
        <w:rFonts w:ascii="Wingdings" w:hAnsi="Wingdings" w:hint="default"/>
        <w:b w:val="0"/>
        <w:i w:val="0"/>
        <w:sz w:val="20"/>
      </w:rPr>
    </w:lvl>
    <w:lvl w:ilvl="7">
      <w:start w:val="1"/>
      <w:numFmt w:val="lowerLetter"/>
      <w:lvlText w:val="%8."/>
      <w:lvlJc w:val="left"/>
      <w:pPr>
        <w:tabs>
          <w:tab w:val="num" w:pos="5672"/>
        </w:tabs>
        <w:ind w:left="5672" w:hanging="709"/>
      </w:pPr>
      <w:rPr>
        <w:rFonts w:hint="default"/>
      </w:rPr>
    </w:lvl>
    <w:lvl w:ilvl="8">
      <w:start w:val="1"/>
      <w:numFmt w:val="lowerRoman"/>
      <w:lvlText w:val="%9."/>
      <w:lvlJc w:val="left"/>
      <w:pPr>
        <w:tabs>
          <w:tab w:val="num" w:pos="6381"/>
        </w:tabs>
        <w:ind w:left="6381" w:hanging="709"/>
      </w:pPr>
      <w:rPr>
        <w:rFonts w:hint="default"/>
      </w:rPr>
    </w:lvl>
  </w:abstractNum>
  <w:abstractNum w:abstractNumId="42" w15:restartNumberingAfterBreak="0">
    <w:nsid w:val="57354D72"/>
    <w:multiLevelType w:val="multilevel"/>
    <w:tmpl w:val="95A20434"/>
    <w:name w:val="SCH3HeadingLT"/>
    <w:lvl w:ilvl="0">
      <w:start w:val="1"/>
      <w:numFmt w:val="decimal"/>
      <w:pStyle w:val="SCH3-MAINHEAD"/>
      <w:suff w:val="nothing"/>
      <w:lvlText w:val="Schedule %1"/>
      <w:lvlJc w:val="left"/>
      <w:pPr>
        <w:ind w:left="0" w:firstLine="0"/>
      </w:pPr>
      <w:rPr>
        <w:rFonts w:ascii="Arial" w:hAnsi="Arial" w:hint="default"/>
        <w:b/>
        <w:i w:val="0"/>
        <w:sz w:val="22"/>
      </w:rPr>
    </w:lvl>
    <w:lvl w:ilvl="1">
      <w:start w:val="1"/>
      <w:numFmt w:val="none"/>
      <w:pStyle w:val="SCH3-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9204B5"/>
    <w:multiLevelType w:val="multilevel"/>
    <w:tmpl w:val="7D187A0C"/>
    <w:name w:val="AppendixHeadingLT"/>
    <w:lvl w:ilvl="0">
      <w:start w:val="1"/>
      <w:numFmt w:val="decimal"/>
      <w:pStyle w:val="AppendixNumHead"/>
      <w:suff w:val="nothing"/>
      <w:lvlText w:val="Appendix %1"/>
      <w:lvlJc w:val="left"/>
      <w:pPr>
        <w:ind w:left="0" w:firstLine="0"/>
      </w:pPr>
      <w:rPr>
        <w:rFonts w:ascii="Arial" w:hAnsi="Arial" w:hint="default"/>
        <w:b/>
        <w:i w:val="0"/>
        <w:sz w:val="22"/>
      </w:rPr>
    </w:lvl>
    <w:lvl w:ilvl="1">
      <w:start w:val="1"/>
      <w:numFmt w:val="none"/>
      <w:pStyle w:val="Appendix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5F38430C"/>
    <w:multiLevelType w:val="hybridMultilevel"/>
    <w:tmpl w:val="6D04A72A"/>
    <w:lvl w:ilvl="0" w:tplc="1406779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914A1B"/>
    <w:multiLevelType w:val="multilevel"/>
    <w:tmpl w:val="DBBEA42C"/>
    <w:name w:val="SCH9HeadingLT"/>
    <w:lvl w:ilvl="0">
      <w:start w:val="1"/>
      <w:numFmt w:val="decimal"/>
      <w:pStyle w:val="SCH9-MAINHEAD"/>
      <w:suff w:val="nothing"/>
      <w:lvlText w:val="Schedule %1"/>
      <w:lvlJc w:val="left"/>
      <w:pPr>
        <w:ind w:left="0" w:firstLine="0"/>
      </w:pPr>
      <w:rPr>
        <w:rFonts w:ascii="Arial" w:hAnsi="Arial" w:hint="default"/>
        <w:b/>
        <w:i w:val="0"/>
        <w:sz w:val="22"/>
      </w:rPr>
    </w:lvl>
    <w:lvl w:ilvl="1">
      <w:start w:val="1"/>
      <w:numFmt w:val="none"/>
      <w:pStyle w:val="SCH9-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676D097E"/>
    <w:multiLevelType w:val="multilevel"/>
    <w:tmpl w:val="84647408"/>
    <w:name w:val="SCH1HeadingLT"/>
    <w:lvl w:ilvl="0">
      <w:start w:val="1"/>
      <w:numFmt w:val="decimal"/>
      <w:pStyle w:val="SCH1-MAINHEAD"/>
      <w:suff w:val="nothing"/>
      <w:lvlText w:val="Schedule %1"/>
      <w:lvlJc w:val="left"/>
      <w:pPr>
        <w:ind w:left="0" w:firstLine="0"/>
      </w:pPr>
      <w:rPr>
        <w:rFonts w:ascii="Arial" w:hAnsi="Arial" w:hint="default"/>
        <w:b/>
        <w:i w:val="0"/>
        <w:sz w:val="22"/>
      </w:rPr>
    </w:lvl>
    <w:lvl w:ilvl="1">
      <w:start w:val="1"/>
      <w:numFmt w:val="none"/>
      <w:pStyle w:val="SCH1-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B585DC5"/>
    <w:multiLevelType w:val="multilevel"/>
    <w:tmpl w:val="107493F6"/>
    <w:name w:val="SCH1LT"/>
    <w:lvl w:ilvl="0">
      <w:start w:val="1"/>
      <w:numFmt w:val="decimal"/>
      <w:pStyle w:val="SCH1-LEVEL1"/>
      <w:lvlText w:val="%1"/>
      <w:lvlJc w:val="left"/>
      <w:pPr>
        <w:tabs>
          <w:tab w:val="num" w:pos="709"/>
        </w:tabs>
        <w:ind w:left="709" w:hanging="709"/>
      </w:pPr>
      <w:rPr>
        <w:rFonts w:ascii="Arial" w:hAnsi="Arial" w:hint="default"/>
        <w:b w:val="0"/>
        <w:i w:val="0"/>
        <w:sz w:val="22"/>
      </w:rPr>
    </w:lvl>
    <w:lvl w:ilvl="1">
      <w:start w:val="1"/>
      <w:numFmt w:val="decimal"/>
      <w:pStyle w:val="SCH1-LEVEL2"/>
      <w:lvlText w:val="%1.%2"/>
      <w:lvlJc w:val="left"/>
      <w:pPr>
        <w:tabs>
          <w:tab w:val="num" w:pos="709"/>
        </w:tabs>
        <w:ind w:left="709" w:hanging="709"/>
      </w:pPr>
      <w:rPr>
        <w:rFonts w:ascii="Arial" w:hAnsi="Arial" w:hint="default"/>
        <w:b w:val="0"/>
        <w:i w:val="0"/>
        <w:sz w:val="20"/>
      </w:rPr>
    </w:lvl>
    <w:lvl w:ilvl="2">
      <w:start w:val="1"/>
      <w:numFmt w:val="decimal"/>
      <w:pStyle w:val="SCH1-LEVEL3"/>
      <w:lvlText w:val="%1.%2.%3"/>
      <w:lvlJc w:val="left"/>
      <w:pPr>
        <w:tabs>
          <w:tab w:val="num" w:pos="709"/>
        </w:tabs>
        <w:ind w:left="709" w:hanging="709"/>
      </w:pPr>
      <w:rPr>
        <w:rFonts w:ascii="Arial" w:hAnsi="Arial" w:hint="default"/>
        <w:b w:val="0"/>
        <w:i w:val="0"/>
        <w:sz w:val="20"/>
      </w:rPr>
    </w:lvl>
    <w:lvl w:ilvl="3">
      <w:start w:val="1"/>
      <w:numFmt w:val="lowerLetter"/>
      <w:pStyle w:val="SCH1-LEVEL4"/>
      <w:lvlText w:val="(%4)"/>
      <w:lvlJc w:val="left"/>
      <w:pPr>
        <w:tabs>
          <w:tab w:val="num" w:pos="709"/>
        </w:tabs>
        <w:ind w:left="709" w:hanging="709"/>
      </w:pPr>
      <w:rPr>
        <w:rFonts w:ascii="Arial" w:hAnsi="Arial" w:hint="default"/>
        <w:b w:val="0"/>
        <w:i w:val="0"/>
        <w:sz w:val="20"/>
      </w:rPr>
    </w:lvl>
    <w:lvl w:ilvl="4">
      <w:start w:val="1"/>
      <w:numFmt w:val="lowerRoman"/>
      <w:pStyle w:val="SCH1-LEVEL5"/>
      <w:lvlText w:val="(%5)"/>
      <w:lvlJc w:val="left"/>
      <w:pPr>
        <w:tabs>
          <w:tab w:val="num" w:pos="709"/>
        </w:tabs>
        <w:ind w:left="709" w:hanging="709"/>
      </w:pPr>
      <w:rPr>
        <w:rFonts w:ascii="Arial" w:hAnsi="Arial" w:hint="default"/>
        <w:b w:val="0"/>
        <w:i w:val="0"/>
        <w:sz w:val="20"/>
      </w:rPr>
    </w:lvl>
    <w:lvl w:ilvl="5">
      <w:start w:val="1"/>
      <w:numFmt w:val="decimal"/>
      <w:pStyle w:val="SCH1-LEVEL6"/>
      <w:lvlText w:val="(%6)"/>
      <w:lvlJc w:val="left"/>
      <w:pPr>
        <w:tabs>
          <w:tab w:val="num" w:pos="709"/>
        </w:tabs>
        <w:ind w:left="709" w:hanging="709"/>
      </w:pPr>
      <w:rPr>
        <w:rFonts w:ascii="Arial" w:hAnsi="Arial" w:hint="default"/>
        <w:b w:val="0"/>
        <w:i w:val="0"/>
        <w:sz w:val="20"/>
      </w:rPr>
    </w:lvl>
    <w:lvl w:ilvl="6">
      <w:start w:val="1"/>
      <w:numFmt w:val="upperLetter"/>
      <w:pStyle w:val="SCH1-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8" w15:restartNumberingAfterBreak="0">
    <w:nsid w:val="6BDE73E6"/>
    <w:multiLevelType w:val="multilevel"/>
    <w:tmpl w:val="C5BA126C"/>
    <w:name w:val="SCH4LT"/>
    <w:lvl w:ilvl="0">
      <w:start w:val="1"/>
      <w:numFmt w:val="decimal"/>
      <w:pStyle w:val="SCH4-LEVEL1"/>
      <w:lvlText w:val="%1"/>
      <w:lvlJc w:val="left"/>
      <w:pPr>
        <w:tabs>
          <w:tab w:val="num" w:pos="709"/>
        </w:tabs>
        <w:ind w:left="709" w:hanging="709"/>
      </w:pPr>
      <w:rPr>
        <w:rFonts w:ascii="Arial" w:hAnsi="Arial" w:hint="default"/>
        <w:b w:val="0"/>
        <w:i w:val="0"/>
        <w:sz w:val="22"/>
      </w:rPr>
    </w:lvl>
    <w:lvl w:ilvl="1">
      <w:start w:val="1"/>
      <w:numFmt w:val="decimal"/>
      <w:pStyle w:val="SCH4-LEVEL2"/>
      <w:lvlText w:val="%1.%2"/>
      <w:lvlJc w:val="left"/>
      <w:pPr>
        <w:tabs>
          <w:tab w:val="num" w:pos="709"/>
        </w:tabs>
        <w:ind w:left="709" w:hanging="709"/>
      </w:pPr>
      <w:rPr>
        <w:rFonts w:ascii="Arial" w:hAnsi="Arial" w:hint="default"/>
        <w:b w:val="0"/>
        <w:i w:val="0"/>
        <w:sz w:val="20"/>
      </w:rPr>
    </w:lvl>
    <w:lvl w:ilvl="2">
      <w:start w:val="1"/>
      <w:numFmt w:val="decimal"/>
      <w:pStyle w:val="SCH4-LEVEL3"/>
      <w:lvlText w:val="%1.%2.%3"/>
      <w:lvlJc w:val="left"/>
      <w:pPr>
        <w:tabs>
          <w:tab w:val="num" w:pos="709"/>
        </w:tabs>
        <w:ind w:left="709" w:hanging="709"/>
      </w:pPr>
      <w:rPr>
        <w:rFonts w:ascii="Arial" w:hAnsi="Arial" w:hint="default"/>
        <w:b w:val="0"/>
        <w:i w:val="0"/>
        <w:sz w:val="20"/>
      </w:rPr>
    </w:lvl>
    <w:lvl w:ilvl="3">
      <w:start w:val="1"/>
      <w:numFmt w:val="lowerLetter"/>
      <w:pStyle w:val="SCH4-LEVEL4"/>
      <w:lvlText w:val="(%4)"/>
      <w:lvlJc w:val="left"/>
      <w:pPr>
        <w:tabs>
          <w:tab w:val="num" w:pos="709"/>
        </w:tabs>
        <w:ind w:left="709" w:hanging="709"/>
      </w:pPr>
      <w:rPr>
        <w:rFonts w:ascii="Arial" w:hAnsi="Arial" w:hint="default"/>
        <w:b w:val="0"/>
        <w:i w:val="0"/>
        <w:sz w:val="20"/>
      </w:rPr>
    </w:lvl>
    <w:lvl w:ilvl="4">
      <w:start w:val="1"/>
      <w:numFmt w:val="lowerRoman"/>
      <w:pStyle w:val="SCH4-LEVEL5"/>
      <w:lvlText w:val="(%5)"/>
      <w:lvlJc w:val="left"/>
      <w:pPr>
        <w:tabs>
          <w:tab w:val="num" w:pos="709"/>
        </w:tabs>
        <w:ind w:left="709" w:hanging="709"/>
      </w:pPr>
      <w:rPr>
        <w:rFonts w:ascii="Arial" w:hAnsi="Arial" w:hint="default"/>
        <w:b w:val="0"/>
        <w:i w:val="0"/>
        <w:sz w:val="20"/>
      </w:rPr>
    </w:lvl>
    <w:lvl w:ilvl="5">
      <w:start w:val="1"/>
      <w:numFmt w:val="decimal"/>
      <w:pStyle w:val="SCH4-LEVEL6"/>
      <w:lvlText w:val="(%6)"/>
      <w:lvlJc w:val="left"/>
      <w:pPr>
        <w:tabs>
          <w:tab w:val="num" w:pos="709"/>
        </w:tabs>
        <w:ind w:left="709" w:hanging="709"/>
      </w:pPr>
      <w:rPr>
        <w:rFonts w:ascii="Arial" w:hAnsi="Arial" w:hint="default"/>
        <w:b w:val="0"/>
        <w:i w:val="0"/>
        <w:sz w:val="20"/>
      </w:rPr>
    </w:lvl>
    <w:lvl w:ilvl="6">
      <w:start w:val="1"/>
      <w:numFmt w:val="upperLetter"/>
      <w:pStyle w:val="SCH4-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49" w15:restartNumberingAfterBreak="0">
    <w:nsid w:val="6CC03DDC"/>
    <w:multiLevelType w:val="multilevel"/>
    <w:tmpl w:val="C6A682F4"/>
    <w:name w:val="NALT"/>
    <w:lvl w:ilvl="0">
      <w:start w:val="1"/>
      <w:numFmt w:val="decimal"/>
      <w:pStyle w:val="NA-LEVEL1"/>
      <w:lvlText w:val="%1."/>
      <w:lvlJc w:val="left"/>
      <w:pPr>
        <w:tabs>
          <w:tab w:val="num" w:pos="709"/>
        </w:tabs>
        <w:ind w:left="709" w:hanging="709"/>
      </w:pPr>
      <w:rPr>
        <w:rFonts w:ascii="Arial" w:hAnsi="Arial" w:hint="default"/>
        <w:b w:val="0"/>
        <w:i w:val="0"/>
        <w:sz w:val="20"/>
      </w:rPr>
    </w:lvl>
    <w:lvl w:ilvl="1">
      <w:start w:val="1"/>
      <w:numFmt w:val="lowerLetter"/>
      <w:pStyle w:val="NA-LEVEL2"/>
      <w:lvlText w:val="(%2)"/>
      <w:lvlJc w:val="left"/>
      <w:pPr>
        <w:tabs>
          <w:tab w:val="num" w:pos="709"/>
        </w:tabs>
        <w:ind w:left="709" w:hanging="709"/>
      </w:pPr>
      <w:rPr>
        <w:rFonts w:ascii="Arial" w:hAnsi="Arial" w:hint="default"/>
        <w:b w:val="0"/>
        <w:i w:val="0"/>
        <w:sz w:val="20"/>
      </w:rPr>
    </w:lvl>
    <w:lvl w:ilvl="2">
      <w:start w:val="1"/>
      <w:numFmt w:val="lowerRoman"/>
      <w:pStyle w:val="NA-LEVEL3"/>
      <w:lvlText w:val="(%3)"/>
      <w:lvlJc w:val="left"/>
      <w:pPr>
        <w:tabs>
          <w:tab w:val="num" w:pos="709"/>
        </w:tabs>
        <w:ind w:left="709" w:hanging="709"/>
      </w:pPr>
      <w:rPr>
        <w:rFonts w:ascii="Arial" w:hAnsi="Arial" w:hint="default"/>
        <w:b w:val="0"/>
        <w:i w:val="0"/>
        <w:sz w:val="20"/>
      </w:rPr>
    </w:lvl>
    <w:lvl w:ilvl="3">
      <w:start w:val="1"/>
      <w:numFmt w:val="decimal"/>
      <w:pStyle w:val="NA-LEVEL4"/>
      <w:lvlText w:val="(%4)"/>
      <w:lvlJc w:val="left"/>
      <w:pPr>
        <w:tabs>
          <w:tab w:val="num" w:pos="709"/>
        </w:tabs>
        <w:ind w:left="709" w:hanging="709"/>
      </w:pPr>
      <w:rPr>
        <w:rFonts w:ascii="Arial" w:hAnsi="Arial" w:hint="default"/>
        <w:b w:val="0"/>
        <w:i w:val="0"/>
        <w:sz w:val="20"/>
      </w:rPr>
    </w:lvl>
    <w:lvl w:ilvl="4">
      <w:start w:val="1"/>
      <w:numFmt w:val="upperLetter"/>
      <w:pStyle w:val="NA-LEVEL5"/>
      <w:lvlText w:val="(%5)"/>
      <w:lvlJc w:val="left"/>
      <w:pPr>
        <w:tabs>
          <w:tab w:val="num" w:pos="709"/>
        </w:tabs>
        <w:ind w:left="709" w:hanging="709"/>
      </w:pPr>
      <w:rPr>
        <w:rFonts w:ascii="Arial" w:hAnsi="Arial" w:hint="default"/>
        <w:b w:val="0"/>
        <w:i w:val="0"/>
        <w:sz w:val="20"/>
      </w:rPr>
    </w:lvl>
    <w:lvl w:ilvl="5">
      <w:start w:val="1"/>
      <w:numFmt w:val="upperRoman"/>
      <w:pStyle w:val="NA-LEVEL6"/>
      <w:lvlText w:val="(%6)"/>
      <w:lvlJc w:val="left"/>
      <w:pPr>
        <w:tabs>
          <w:tab w:val="num" w:pos="709"/>
        </w:tabs>
        <w:ind w:left="709" w:hanging="709"/>
      </w:pPr>
      <w:rPr>
        <w:rFonts w:ascii="Arial" w:hAnsi="Arial" w:hint="default"/>
        <w:b w:val="0"/>
        <w:i w:val="0"/>
        <w:sz w:val="20"/>
      </w:rPr>
    </w:lvl>
    <w:lvl w:ilvl="6">
      <w:start w:val="1"/>
      <w:numFmt w:val="lowerLetter"/>
      <w:pStyle w:val="NA-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0" w15:restartNumberingAfterBreak="0">
    <w:nsid w:val="6E5A3E5F"/>
    <w:multiLevelType w:val="multilevel"/>
    <w:tmpl w:val="E7F06868"/>
    <w:name w:val="SCH8HeadingLT"/>
    <w:lvl w:ilvl="0">
      <w:start w:val="1"/>
      <w:numFmt w:val="decimal"/>
      <w:pStyle w:val="SCH8-MAINHEAD"/>
      <w:suff w:val="nothing"/>
      <w:lvlText w:val="Schedule %1"/>
      <w:lvlJc w:val="left"/>
      <w:pPr>
        <w:ind w:left="0" w:firstLine="0"/>
      </w:pPr>
      <w:rPr>
        <w:rFonts w:ascii="Arial" w:hAnsi="Arial" w:hint="default"/>
        <w:b/>
        <w:i w:val="0"/>
        <w:sz w:val="22"/>
      </w:rPr>
    </w:lvl>
    <w:lvl w:ilvl="1">
      <w:start w:val="1"/>
      <w:numFmt w:val="none"/>
      <w:pStyle w:val="SCH8-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71C845A1"/>
    <w:multiLevelType w:val="hybridMultilevel"/>
    <w:tmpl w:val="792057B2"/>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72493D28"/>
    <w:multiLevelType w:val="multilevel"/>
    <w:tmpl w:val="1B32C678"/>
    <w:name w:val="SCHLT"/>
    <w:lvl w:ilvl="0">
      <w:start w:val="1"/>
      <w:numFmt w:val="decimal"/>
      <w:pStyle w:val="SCH-LEVEL1"/>
      <w:lvlText w:val="%1"/>
      <w:lvlJc w:val="left"/>
      <w:pPr>
        <w:tabs>
          <w:tab w:val="num" w:pos="709"/>
        </w:tabs>
        <w:ind w:left="709" w:hanging="709"/>
      </w:pPr>
      <w:rPr>
        <w:rFonts w:ascii="Arial" w:hAnsi="Arial" w:hint="default"/>
        <w:b w:val="0"/>
        <w:i w:val="0"/>
        <w:sz w:val="22"/>
      </w:rPr>
    </w:lvl>
    <w:lvl w:ilvl="1">
      <w:start w:val="1"/>
      <w:numFmt w:val="decimal"/>
      <w:pStyle w:val="SCH-LEVEL2"/>
      <w:lvlText w:val="%1.%2"/>
      <w:lvlJc w:val="left"/>
      <w:pPr>
        <w:tabs>
          <w:tab w:val="num" w:pos="709"/>
        </w:tabs>
        <w:ind w:left="709" w:hanging="709"/>
      </w:pPr>
      <w:rPr>
        <w:rFonts w:ascii="Arial" w:hAnsi="Arial" w:hint="default"/>
        <w:b w:val="0"/>
        <w:i w:val="0"/>
        <w:sz w:val="20"/>
      </w:rPr>
    </w:lvl>
    <w:lvl w:ilvl="2">
      <w:start w:val="1"/>
      <w:numFmt w:val="decimal"/>
      <w:pStyle w:val="SCH-LEVEL3"/>
      <w:lvlText w:val="%1.%2.%3"/>
      <w:lvlJc w:val="left"/>
      <w:pPr>
        <w:tabs>
          <w:tab w:val="num" w:pos="709"/>
        </w:tabs>
        <w:ind w:left="709" w:hanging="709"/>
      </w:pPr>
      <w:rPr>
        <w:rFonts w:ascii="Arial" w:hAnsi="Arial" w:hint="default"/>
        <w:b w:val="0"/>
        <w:i w:val="0"/>
        <w:sz w:val="20"/>
      </w:rPr>
    </w:lvl>
    <w:lvl w:ilvl="3">
      <w:start w:val="1"/>
      <w:numFmt w:val="lowerLetter"/>
      <w:pStyle w:val="SCH-LEVEL4"/>
      <w:lvlText w:val="(%4)"/>
      <w:lvlJc w:val="left"/>
      <w:pPr>
        <w:tabs>
          <w:tab w:val="num" w:pos="709"/>
        </w:tabs>
        <w:ind w:left="709" w:hanging="709"/>
      </w:pPr>
      <w:rPr>
        <w:rFonts w:ascii="Arial" w:hAnsi="Arial" w:hint="default"/>
        <w:b w:val="0"/>
        <w:i w:val="0"/>
        <w:sz w:val="20"/>
      </w:rPr>
    </w:lvl>
    <w:lvl w:ilvl="4">
      <w:start w:val="1"/>
      <w:numFmt w:val="lowerRoman"/>
      <w:pStyle w:val="SCH-LEVEL5"/>
      <w:lvlText w:val="(%5)"/>
      <w:lvlJc w:val="left"/>
      <w:pPr>
        <w:tabs>
          <w:tab w:val="num" w:pos="709"/>
        </w:tabs>
        <w:ind w:left="709" w:hanging="709"/>
      </w:pPr>
      <w:rPr>
        <w:rFonts w:ascii="Arial" w:hAnsi="Arial" w:hint="default"/>
        <w:b w:val="0"/>
        <w:i w:val="0"/>
        <w:sz w:val="20"/>
      </w:rPr>
    </w:lvl>
    <w:lvl w:ilvl="5">
      <w:start w:val="1"/>
      <w:numFmt w:val="decimal"/>
      <w:pStyle w:val="SCH-LEVEL6"/>
      <w:lvlText w:val="(%6)"/>
      <w:lvlJc w:val="left"/>
      <w:pPr>
        <w:tabs>
          <w:tab w:val="num" w:pos="709"/>
        </w:tabs>
        <w:ind w:left="709" w:hanging="709"/>
      </w:pPr>
      <w:rPr>
        <w:rFonts w:ascii="Arial" w:hAnsi="Arial" w:hint="default"/>
        <w:b w:val="0"/>
        <w:i w:val="0"/>
        <w:sz w:val="20"/>
      </w:rPr>
    </w:lvl>
    <w:lvl w:ilvl="6">
      <w:start w:val="1"/>
      <w:numFmt w:val="upperLetter"/>
      <w:pStyle w:val="SCH-LEVEL7"/>
      <w:lvlText w:val="(%7)"/>
      <w:lvlJc w:val="left"/>
      <w:pPr>
        <w:tabs>
          <w:tab w:val="num" w:pos="709"/>
        </w:tabs>
        <w:ind w:left="709" w:hanging="709"/>
      </w:pPr>
      <w:rPr>
        <w:rFonts w:ascii="Arial" w:hAnsi="Arial" w:hint="default"/>
        <w:b w:val="0"/>
        <w:i w:val="0"/>
        <w:sz w:val="20"/>
      </w:rPr>
    </w:lvl>
    <w:lvl w:ilvl="7">
      <w:start w:val="1"/>
      <w:numFmt w:val="lowerLetter"/>
      <w:lvlText w:val="%8."/>
      <w:lvlJc w:val="left"/>
      <w:pPr>
        <w:tabs>
          <w:tab w:val="num" w:pos="709"/>
        </w:tabs>
        <w:ind w:left="709" w:hanging="709"/>
      </w:pPr>
      <w:rPr>
        <w:rFonts w:hint="default"/>
      </w:rPr>
    </w:lvl>
    <w:lvl w:ilvl="8">
      <w:start w:val="1"/>
      <w:numFmt w:val="lowerRoman"/>
      <w:lvlText w:val="%9."/>
      <w:lvlJc w:val="left"/>
      <w:pPr>
        <w:tabs>
          <w:tab w:val="num" w:pos="709"/>
        </w:tabs>
        <w:ind w:left="709" w:hanging="709"/>
      </w:pPr>
      <w:rPr>
        <w:rFonts w:hint="default"/>
      </w:rPr>
    </w:lvl>
  </w:abstractNum>
  <w:abstractNum w:abstractNumId="53" w15:restartNumberingAfterBreak="0">
    <w:nsid w:val="744267C5"/>
    <w:multiLevelType w:val="multilevel"/>
    <w:tmpl w:val="25EE783A"/>
    <w:name w:val="SCH4HeadingLT"/>
    <w:lvl w:ilvl="0">
      <w:start w:val="1"/>
      <w:numFmt w:val="decimal"/>
      <w:pStyle w:val="SCH4-MAINHEAD"/>
      <w:suff w:val="nothing"/>
      <w:lvlText w:val="Schedule %1"/>
      <w:lvlJc w:val="left"/>
      <w:pPr>
        <w:ind w:left="0" w:firstLine="0"/>
      </w:pPr>
      <w:rPr>
        <w:rFonts w:ascii="Arial" w:hAnsi="Arial" w:hint="default"/>
        <w:b/>
        <w:i w:val="0"/>
        <w:sz w:val="22"/>
      </w:rPr>
    </w:lvl>
    <w:lvl w:ilvl="1">
      <w:start w:val="1"/>
      <w:numFmt w:val="none"/>
      <w:pStyle w:val="SCH4-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78CD105A"/>
    <w:multiLevelType w:val="multilevel"/>
    <w:tmpl w:val="D6BEBF50"/>
    <w:name w:val="SCHHeadingLT"/>
    <w:lvl w:ilvl="0">
      <w:start w:val="1"/>
      <w:numFmt w:val="decimal"/>
      <w:pStyle w:val="SCH-MAINHEAD"/>
      <w:suff w:val="nothing"/>
      <w:lvlText w:val="Schedule %1"/>
      <w:lvlJc w:val="left"/>
      <w:pPr>
        <w:ind w:left="0" w:firstLine="0"/>
      </w:pPr>
      <w:rPr>
        <w:rFonts w:ascii="Arial" w:hAnsi="Arial" w:hint="default"/>
        <w:b/>
        <w:i w:val="0"/>
        <w:sz w:val="22"/>
      </w:rPr>
    </w:lvl>
    <w:lvl w:ilvl="1">
      <w:start w:val="1"/>
      <w:numFmt w:val="none"/>
      <w:pStyle w:val="SCH-SUBHEAD"/>
      <w:suff w:val="nothing"/>
      <w:lvlText w:val="%2"/>
      <w:lvlJc w:val="left"/>
      <w:pPr>
        <w:ind w:left="0" w:firstLine="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291859206">
    <w:abstractNumId w:val="9"/>
  </w:num>
  <w:num w:numId="2" w16cid:durableId="949320102">
    <w:abstractNumId w:val="7"/>
  </w:num>
  <w:num w:numId="3" w16cid:durableId="971860097">
    <w:abstractNumId w:val="6"/>
  </w:num>
  <w:num w:numId="4" w16cid:durableId="1539732409">
    <w:abstractNumId w:val="5"/>
  </w:num>
  <w:num w:numId="5" w16cid:durableId="13699520">
    <w:abstractNumId w:val="4"/>
  </w:num>
  <w:num w:numId="6" w16cid:durableId="870653935">
    <w:abstractNumId w:val="8"/>
  </w:num>
  <w:num w:numId="7" w16cid:durableId="1977757700">
    <w:abstractNumId w:val="3"/>
  </w:num>
  <w:num w:numId="8" w16cid:durableId="295716817">
    <w:abstractNumId w:val="2"/>
  </w:num>
  <w:num w:numId="9" w16cid:durableId="84231325">
    <w:abstractNumId w:val="1"/>
  </w:num>
  <w:num w:numId="10" w16cid:durableId="810905234">
    <w:abstractNumId w:val="0"/>
  </w:num>
  <w:num w:numId="11" w16cid:durableId="65031615">
    <w:abstractNumId w:val="30"/>
  </w:num>
  <w:num w:numId="12" w16cid:durableId="1157569454">
    <w:abstractNumId w:val="27"/>
  </w:num>
  <w:num w:numId="13" w16cid:durableId="111174933">
    <w:abstractNumId w:val="10"/>
  </w:num>
  <w:num w:numId="14" w16cid:durableId="529689665">
    <w:abstractNumId w:val="43"/>
  </w:num>
  <w:num w:numId="15" w16cid:durableId="480657253">
    <w:abstractNumId w:val="12"/>
  </w:num>
  <w:num w:numId="16" w16cid:durableId="2093357921">
    <w:abstractNumId w:val="54"/>
  </w:num>
  <w:num w:numId="17" w16cid:durableId="122424871">
    <w:abstractNumId w:val="46"/>
  </w:num>
  <w:num w:numId="18" w16cid:durableId="386341242">
    <w:abstractNumId w:val="33"/>
  </w:num>
  <w:num w:numId="19" w16cid:durableId="1966230150">
    <w:abstractNumId w:val="42"/>
  </w:num>
  <w:num w:numId="20" w16cid:durableId="2015450191">
    <w:abstractNumId w:val="53"/>
  </w:num>
  <w:num w:numId="21" w16cid:durableId="431709696">
    <w:abstractNumId w:val="36"/>
  </w:num>
  <w:num w:numId="22" w16cid:durableId="481387528">
    <w:abstractNumId w:val="35"/>
  </w:num>
  <w:num w:numId="23" w16cid:durableId="1731341600">
    <w:abstractNumId w:val="34"/>
  </w:num>
  <w:num w:numId="24" w16cid:durableId="34740665">
    <w:abstractNumId w:val="50"/>
  </w:num>
  <w:num w:numId="25" w16cid:durableId="1460614205">
    <w:abstractNumId w:val="45"/>
  </w:num>
  <w:num w:numId="26" w16cid:durableId="122383490">
    <w:abstractNumId w:val="11"/>
  </w:num>
  <w:num w:numId="27" w16cid:durableId="12802011">
    <w:abstractNumId w:val="26"/>
  </w:num>
  <w:num w:numId="28" w16cid:durableId="836649338">
    <w:abstractNumId w:val="41"/>
  </w:num>
  <w:num w:numId="29" w16cid:durableId="1601138175">
    <w:abstractNumId w:val="19"/>
  </w:num>
  <w:num w:numId="30" w16cid:durableId="649092890">
    <w:abstractNumId w:val="32"/>
  </w:num>
  <w:num w:numId="31" w16cid:durableId="70541892">
    <w:abstractNumId w:val="23"/>
  </w:num>
  <w:num w:numId="32" w16cid:durableId="1216165993">
    <w:abstractNumId w:val="49"/>
  </w:num>
  <w:num w:numId="33" w16cid:durableId="1809590483">
    <w:abstractNumId w:val="52"/>
  </w:num>
  <w:num w:numId="34" w16cid:durableId="1262954617">
    <w:abstractNumId w:val="47"/>
  </w:num>
  <w:num w:numId="35" w16cid:durableId="1546285563">
    <w:abstractNumId w:val="22"/>
  </w:num>
  <w:num w:numId="36" w16cid:durableId="616106953">
    <w:abstractNumId w:val="40"/>
  </w:num>
  <w:num w:numId="37" w16cid:durableId="833228894">
    <w:abstractNumId w:val="48"/>
  </w:num>
  <w:num w:numId="38" w16cid:durableId="122768703">
    <w:abstractNumId w:val="21"/>
  </w:num>
  <w:num w:numId="39" w16cid:durableId="1503472571">
    <w:abstractNumId w:val="25"/>
  </w:num>
  <w:num w:numId="40" w16cid:durableId="1872768976">
    <w:abstractNumId w:val="39"/>
  </w:num>
  <w:num w:numId="41" w16cid:durableId="586034750">
    <w:abstractNumId w:val="17"/>
  </w:num>
  <w:num w:numId="42" w16cid:durableId="890771418">
    <w:abstractNumId w:val="16"/>
  </w:num>
  <w:num w:numId="43" w16cid:durableId="138886009">
    <w:abstractNumId w:val="28"/>
  </w:num>
  <w:num w:numId="44" w16cid:durableId="1408725020">
    <w:abstractNumId w:val="18"/>
  </w:num>
  <w:num w:numId="45" w16cid:durableId="33579251">
    <w:abstractNumId w:val="24"/>
  </w:num>
  <w:num w:numId="46" w16cid:durableId="1943948083">
    <w:abstractNumId w:val="37"/>
  </w:num>
  <w:num w:numId="47" w16cid:durableId="290793820">
    <w:abstractNumId w:val="37"/>
    <w:lvlOverride w:ilvl="0">
      <w:startOverride w:val="1"/>
    </w:lvlOverride>
  </w:num>
  <w:num w:numId="48" w16cid:durableId="652099277">
    <w:abstractNumId w:val="13"/>
  </w:num>
  <w:num w:numId="49" w16cid:durableId="1205681739">
    <w:abstractNumId w:val="44"/>
  </w:num>
  <w:num w:numId="50" w16cid:durableId="12520390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649818662">
    <w:abstractNumId w:val="29"/>
  </w:num>
  <w:num w:numId="52" w16cid:durableId="56053196">
    <w:abstractNumId w:val="20"/>
  </w:num>
  <w:num w:numId="53" w16cid:durableId="517736316">
    <w:abstractNumId w:val="14"/>
  </w:num>
  <w:num w:numId="54" w16cid:durableId="508838245">
    <w:abstractNumId w:val="38"/>
  </w:num>
  <w:num w:numId="55" w16cid:durableId="65956708">
    <w:abstractNumId w:val="51"/>
  </w:num>
  <w:num w:numId="56" w16cid:durableId="153764720">
    <w:abstractNumId w:val="15"/>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99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F2F"/>
    <w:rsid w:val="00000617"/>
    <w:rsid w:val="00000FA4"/>
    <w:rsid w:val="00001352"/>
    <w:rsid w:val="00001930"/>
    <w:rsid w:val="000019C5"/>
    <w:rsid w:val="000026EA"/>
    <w:rsid w:val="0000398E"/>
    <w:rsid w:val="00003C1D"/>
    <w:rsid w:val="00003C70"/>
    <w:rsid w:val="00003E67"/>
    <w:rsid w:val="00004785"/>
    <w:rsid w:val="0000484C"/>
    <w:rsid w:val="00005373"/>
    <w:rsid w:val="000059C0"/>
    <w:rsid w:val="00005A4C"/>
    <w:rsid w:val="00005B65"/>
    <w:rsid w:val="000065F2"/>
    <w:rsid w:val="00006A80"/>
    <w:rsid w:val="00007466"/>
    <w:rsid w:val="00010ADC"/>
    <w:rsid w:val="00010F0B"/>
    <w:rsid w:val="00011134"/>
    <w:rsid w:val="00011C9E"/>
    <w:rsid w:val="0001200B"/>
    <w:rsid w:val="00013087"/>
    <w:rsid w:val="00014F72"/>
    <w:rsid w:val="000158C6"/>
    <w:rsid w:val="000171B5"/>
    <w:rsid w:val="00020BD5"/>
    <w:rsid w:val="00020E81"/>
    <w:rsid w:val="0002198B"/>
    <w:rsid w:val="00022381"/>
    <w:rsid w:val="0002273A"/>
    <w:rsid w:val="0002319D"/>
    <w:rsid w:val="00023A5F"/>
    <w:rsid w:val="0002480A"/>
    <w:rsid w:val="00024D77"/>
    <w:rsid w:val="00025083"/>
    <w:rsid w:val="00025BED"/>
    <w:rsid w:val="00025E90"/>
    <w:rsid w:val="000262EA"/>
    <w:rsid w:val="00026418"/>
    <w:rsid w:val="00026E24"/>
    <w:rsid w:val="00027B96"/>
    <w:rsid w:val="00027BA9"/>
    <w:rsid w:val="00030B21"/>
    <w:rsid w:val="00031CC2"/>
    <w:rsid w:val="000322C3"/>
    <w:rsid w:val="000337A6"/>
    <w:rsid w:val="00034749"/>
    <w:rsid w:val="0003560D"/>
    <w:rsid w:val="00036124"/>
    <w:rsid w:val="00036F02"/>
    <w:rsid w:val="000370B7"/>
    <w:rsid w:val="00037266"/>
    <w:rsid w:val="00037E6B"/>
    <w:rsid w:val="00037EB6"/>
    <w:rsid w:val="00041E0F"/>
    <w:rsid w:val="000422A4"/>
    <w:rsid w:val="00042802"/>
    <w:rsid w:val="00044F60"/>
    <w:rsid w:val="00045AC9"/>
    <w:rsid w:val="00047251"/>
    <w:rsid w:val="0005084D"/>
    <w:rsid w:val="00051ED0"/>
    <w:rsid w:val="00051EF0"/>
    <w:rsid w:val="0005250E"/>
    <w:rsid w:val="00052B67"/>
    <w:rsid w:val="0005411C"/>
    <w:rsid w:val="00054333"/>
    <w:rsid w:val="000545E1"/>
    <w:rsid w:val="00054B6D"/>
    <w:rsid w:val="0005565B"/>
    <w:rsid w:val="00055B63"/>
    <w:rsid w:val="00055D27"/>
    <w:rsid w:val="00055E64"/>
    <w:rsid w:val="00057EAD"/>
    <w:rsid w:val="00057F61"/>
    <w:rsid w:val="000613DB"/>
    <w:rsid w:val="00061708"/>
    <w:rsid w:val="0006191D"/>
    <w:rsid w:val="00063664"/>
    <w:rsid w:val="00063893"/>
    <w:rsid w:val="00065AAA"/>
    <w:rsid w:val="000662F0"/>
    <w:rsid w:val="00066314"/>
    <w:rsid w:val="00066B1E"/>
    <w:rsid w:val="00066BCA"/>
    <w:rsid w:val="00066C4E"/>
    <w:rsid w:val="00067285"/>
    <w:rsid w:val="000703E8"/>
    <w:rsid w:val="0007090B"/>
    <w:rsid w:val="0007121F"/>
    <w:rsid w:val="00072E1F"/>
    <w:rsid w:val="00075676"/>
    <w:rsid w:val="00077010"/>
    <w:rsid w:val="000772C8"/>
    <w:rsid w:val="0007742C"/>
    <w:rsid w:val="00081129"/>
    <w:rsid w:val="00081A88"/>
    <w:rsid w:val="00081DAF"/>
    <w:rsid w:val="000823D9"/>
    <w:rsid w:val="00084A3E"/>
    <w:rsid w:val="00085E91"/>
    <w:rsid w:val="000861B9"/>
    <w:rsid w:val="0008621C"/>
    <w:rsid w:val="00086E45"/>
    <w:rsid w:val="00087BB1"/>
    <w:rsid w:val="0009030A"/>
    <w:rsid w:val="000903AE"/>
    <w:rsid w:val="00090F25"/>
    <w:rsid w:val="000913BE"/>
    <w:rsid w:val="00094036"/>
    <w:rsid w:val="000945E1"/>
    <w:rsid w:val="00094C80"/>
    <w:rsid w:val="000952F0"/>
    <w:rsid w:val="00095CEB"/>
    <w:rsid w:val="00095F4E"/>
    <w:rsid w:val="000965DF"/>
    <w:rsid w:val="000A0599"/>
    <w:rsid w:val="000A0DB2"/>
    <w:rsid w:val="000A1302"/>
    <w:rsid w:val="000A1CD0"/>
    <w:rsid w:val="000A22A9"/>
    <w:rsid w:val="000A2E7F"/>
    <w:rsid w:val="000A338D"/>
    <w:rsid w:val="000A3655"/>
    <w:rsid w:val="000A38E1"/>
    <w:rsid w:val="000A3F84"/>
    <w:rsid w:val="000A4035"/>
    <w:rsid w:val="000A4DA2"/>
    <w:rsid w:val="000A548C"/>
    <w:rsid w:val="000A5814"/>
    <w:rsid w:val="000A6803"/>
    <w:rsid w:val="000A7182"/>
    <w:rsid w:val="000A7334"/>
    <w:rsid w:val="000A790C"/>
    <w:rsid w:val="000B014B"/>
    <w:rsid w:val="000B02F0"/>
    <w:rsid w:val="000B0B64"/>
    <w:rsid w:val="000B190A"/>
    <w:rsid w:val="000B1EE8"/>
    <w:rsid w:val="000B2DA3"/>
    <w:rsid w:val="000B333D"/>
    <w:rsid w:val="000B3403"/>
    <w:rsid w:val="000B4050"/>
    <w:rsid w:val="000B47CB"/>
    <w:rsid w:val="000B4C8D"/>
    <w:rsid w:val="000B4FF3"/>
    <w:rsid w:val="000B664D"/>
    <w:rsid w:val="000B727F"/>
    <w:rsid w:val="000B74FD"/>
    <w:rsid w:val="000C0277"/>
    <w:rsid w:val="000C0D95"/>
    <w:rsid w:val="000C0DEC"/>
    <w:rsid w:val="000C12CC"/>
    <w:rsid w:val="000C21D9"/>
    <w:rsid w:val="000C2B30"/>
    <w:rsid w:val="000C31EE"/>
    <w:rsid w:val="000C33C5"/>
    <w:rsid w:val="000C35A9"/>
    <w:rsid w:val="000C4319"/>
    <w:rsid w:val="000C456A"/>
    <w:rsid w:val="000C5961"/>
    <w:rsid w:val="000C6C4F"/>
    <w:rsid w:val="000C6C9F"/>
    <w:rsid w:val="000C6DCD"/>
    <w:rsid w:val="000C73FE"/>
    <w:rsid w:val="000C7E41"/>
    <w:rsid w:val="000D0FAC"/>
    <w:rsid w:val="000D28D4"/>
    <w:rsid w:val="000D3C2C"/>
    <w:rsid w:val="000D3F00"/>
    <w:rsid w:val="000D4112"/>
    <w:rsid w:val="000D5390"/>
    <w:rsid w:val="000D5835"/>
    <w:rsid w:val="000D5DAC"/>
    <w:rsid w:val="000D6377"/>
    <w:rsid w:val="000D6BB5"/>
    <w:rsid w:val="000D6F9C"/>
    <w:rsid w:val="000D739B"/>
    <w:rsid w:val="000D7FFD"/>
    <w:rsid w:val="000E07A6"/>
    <w:rsid w:val="000E1AE0"/>
    <w:rsid w:val="000E22B9"/>
    <w:rsid w:val="000E2A09"/>
    <w:rsid w:val="000E2B06"/>
    <w:rsid w:val="000E2B84"/>
    <w:rsid w:val="000E2CD3"/>
    <w:rsid w:val="000E36D8"/>
    <w:rsid w:val="000E44BF"/>
    <w:rsid w:val="000E4505"/>
    <w:rsid w:val="000E4FF5"/>
    <w:rsid w:val="000E5866"/>
    <w:rsid w:val="000E5E36"/>
    <w:rsid w:val="000E5F7B"/>
    <w:rsid w:val="000E6189"/>
    <w:rsid w:val="000E61A2"/>
    <w:rsid w:val="000E6648"/>
    <w:rsid w:val="000E6FBF"/>
    <w:rsid w:val="000E7428"/>
    <w:rsid w:val="000E7451"/>
    <w:rsid w:val="000E7CAC"/>
    <w:rsid w:val="000F0CF6"/>
    <w:rsid w:val="000F1A1D"/>
    <w:rsid w:val="000F2337"/>
    <w:rsid w:val="000F2C37"/>
    <w:rsid w:val="000F43FB"/>
    <w:rsid w:val="000F53A6"/>
    <w:rsid w:val="000F5607"/>
    <w:rsid w:val="000F7BE1"/>
    <w:rsid w:val="001000F0"/>
    <w:rsid w:val="00100C30"/>
    <w:rsid w:val="001011A0"/>
    <w:rsid w:val="00101981"/>
    <w:rsid w:val="00101E1A"/>
    <w:rsid w:val="00102A76"/>
    <w:rsid w:val="001030B9"/>
    <w:rsid w:val="00103826"/>
    <w:rsid w:val="00103AFC"/>
    <w:rsid w:val="001044CF"/>
    <w:rsid w:val="00104B8C"/>
    <w:rsid w:val="00105C3C"/>
    <w:rsid w:val="001065F2"/>
    <w:rsid w:val="00106DF2"/>
    <w:rsid w:val="00107314"/>
    <w:rsid w:val="00107953"/>
    <w:rsid w:val="00107F01"/>
    <w:rsid w:val="00110DA2"/>
    <w:rsid w:val="0011180F"/>
    <w:rsid w:val="00112B8A"/>
    <w:rsid w:val="00113761"/>
    <w:rsid w:val="00113E5C"/>
    <w:rsid w:val="00114B23"/>
    <w:rsid w:val="00114E13"/>
    <w:rsid w:val="001152D2"/>
    <w:rsid w:val="00115E04"/>
    <w:rsid w:val="0011654A"/>
    <w:rsid w:val="00116759"/>
    <w:rsid w:val="00117D5F"/>
    <w:rsid w:val="00120730"/>
    <w:rsid w:val="001208A2"/>
    <w:rsid w:val="00121BB2"/>
    <w:rsid w:val="00121CF8"/>
    <w:rsid w:val="00121EE7"/>
    <w:rsid w:val="0012200A"/>
    <w:rsid w:val="00122AEC"/>
    <w:rsid w:val="00122E98"/>
    <w:rsid w:val="00122F9A"/>
    <w:rsid w:val="00123107"/>
    <w:rsid w:val="00123A09"/>
    <w:rsid w:val="00123B4F"/>
    <w:rsid w:val="00124582"/>
    <w:rsid w:val="00124E7A"/>
    <w:rsid w:val="00125028"/>
    <w:rsid w:val="0012565F"/>
    <w:rsid w:val="00125C5B"/>
    <w:rsid w:val="00125D6D"/>
    <w:rsid w:val="00125F1F"/>
    <w:rsid w:val="001268BA"/>
    <w:rsid w:val="00126AFC"/>
    <w:rsid w:val="00126B38"/>
    <w:rsid w:val="00126FB1"/>
    <w:rsid w:val="001279D1"/>
    <w:rsid w:val="00127C09"/>
    <w:rsid w:val="00127F1A"/>
    <w:rsid w:val="0013002C"/>
    <w:rsid w:val="00130032"/>
    <w:rsid w:val="00130313"/>
    <w:rsid w:val="00130B14"/>
    <w:rsid w:val="001310A4"/>
    <w:rsid w:val="00131412"/>
    <w:rsid w:val="00131680"/>
    <w:rsid w:val="00131850"/>
    <w:rsid w:val="001318CB"/>
    <w:rsid w:val="00132472"/>
    <w:rsid w:val="00132800"/>
    <w:rsid w:val="0013587C"/>
    <w:rsid w:val="0013614D"/>
    <w:rsid w:val="0013629D"/>
    <w:rsid w:val="0013637D"/>
    <w:rsid w:val="00136ED8"/>
    <w:rsid w:val="00136EF8"/>
    <w:rsid w:val="001370C0"/>
    <w:rsid w:val="00137143"/>
    <w:rsid w:val="00137C4A"/>
    <w:rsid w:val="00141C63"/>
    <w:rsid w:val="001425F5"/>
    <w:rsid w:val="0014274E"/>
    <w:rsid w:val="001428BB"/>
    <w:rsid w:val="001430B6"/>
    <w:rsid w:val="00143D19"/>
    <w:rsid w:val="00144980"/>
    <w:rsid w:val="00144D81"/>
    <w:rsid w:val="00145E5A"/>
    <w:rsid w:val="00146649"/>
    <w:rsid w:val="0014679A"/>
    <w:rsid w:val="001473CF"/>
    <w:rsid w:val="00147660"/>
    <w:rsid w:val="00147B5E"/>
    <w:rsid w:val="00147DA5"/>
    <w:rsid w:val="0015093C"/>
    <w:rsid w:val="00150D0B"/>
    <w:rsid w:val="001527CE"/>
    <w:rsid w:val="00152D24"/>
    <w:rsid w:val="00152EBF"/>
    <w:rsid w:val="0015343C"/>
    <w:rsid w:val="00153604"/>
    <w:rsid w:val="001543D1"/>
    <w:rsid w:val="00154604"/>
    <w:rsid w:val="00154626"/>
    <w:rsid w:val="00154980"/>
    <w:rsid w:val="00154C38"/>
    <w:rsid w:val="00154FE0"/>
    <w:rsid w:val="00155523"/>
    <w:rsid w:val="00155AAA"/>
    <w:rsid w:val="00155FAF"/>
    <w:rsid w:val="00155FFF"/>
    <w:rsid w:val="00156539"/>
    <w:rsid w:val="00156909"/>
    <w:rsid w:val="001572F4"/>
    <w:rsid w:val="001574CC"/>
    <w:rsid w:val="00157BDA"/>
    <w:rsid w:val="0016045E"/>
    <w:rsid w:val="00160B52"/>
    <w:rsid w:val="00160BBA"/>
    <w:rsid w:val="001624A7"/>
    <w:rsid w:val="0016268D"/>
    <w:rsid w:val="001626CC"/>
    <w:rsid w:val="0016277F"/>
    <w:rsid w:val="00162A5D"/>
    <w:rsid w:val="00162BF8"/>
    <w:rsid w:val="00163156"/>
    <w:rsid w:val="00163E75"/>
    <w:rsid w:val="00164056"/>
    <w:rsid w:val="00164117"/>
    <w:rsid w:val="001641C6"/>
    <w:rsid w:val="00164987"/>
    <w:rsid w:val="00164AC7"/>
    <w:rsid w:val="00164D94"/>
    <w:rsid w:val="00164F41"/>
    <w:rsid w:val="00165E3D"/>
    <w:rsid w:val="00166436"/>
    <w:rsid w:val="00166F8F"/>
    <w:rsid w:val="00167035"/>
    <w:rsid w:val="001671BF"/>
    <w:rsid w:val="00170505"/>
    <w:rsid w:val="00170653"/>
    <w:rsid w:val="00170AD2"/>
    <w:rsid w:val="00171E08"/>
    <w:rsid w:val="00171E0A"/>
    <w:rsid w:val="00172095"/>
    <w:rsid w:val="00172872"/>
    <w:rsid w:val="00172DB2"/>
    <w:rsid w:val="00173E0A"/>
    <w:rsid w:val="00174534"/>
    <w:rsid w:val="00174D66"/>
    <w:rsid w:val="00175AE1"/>
    <w:rsid w:val="00175F9A"/>
    <w:rsid w:val="0017725A"/>
    <w:rsid w:val="00177ABD"/>
    <w:rsid w:val="00177C2E"/>
    <w:rsid w:val="00177C37"/>
    <w:rsid w:val="00177DDD"/>
    <w:rsid w:val="00180737"/>
    <w:rsid w:val="001817D3"/>
    <w:rsid w:val="00182FAB"/>
    <w:rsid w:val="00183175"/>
    <w:rsid w:val="00184E7C"/>
    <w:rsid w:val="00185133"/>
    <w:rsid w:val="0018522E"/>
    <w:rsid w:val="0018559C"/>
    <w:rsid w:val="001858FE"/>
    <w:rsid w:val="00185ABF"/>
    <w:rsid w:val="00185B4A"/>
    <w:rsid w:val="00186423"/>
    <w:rsid w:val="001877AA"/>
    <w:rsid w:val="00187B94"/>
    <w:rsid w:val="00190799"/>
    <w:rsid w:val="00190ABF"/>
    <w:rsid w:val="001915F4"/>
    <w:rsid w:val="00192166"/>
    <w:rsid w:val="001930EF"/>
    <w:rsid w:val="00193AED"/>
    <w:rsid w:val="00193B23"/>
    <w:rsid w:val="00194ABA"/>
    <w:rsid w:val="00195C14"/>
    <w:rsid w:val="0019649E"/>
    <w:rsid w:val="001964EB"/>
    <w:rsid w:val="00196CE0"/>
    <w:rsid w:val="00196D43"/>
    <w:rsid w:val="001976C2"/>
    <w:rsid w:val="0019780D"/>
    <w:rsid w:val="001A067F"/>
    <w:rsid w:val="001A088A"/>
    <w:rsid w:val="001A0E21"/>
    <w:rsid w:val="001A115A"/>
    <w:rsid w:val="001A1C6F"/>
    <w:rsid w:val="001A24C0"/>
    <w:rsid w:val="001A27A6"/>
    <w:rsid w:val="001A29F6"/>
    <w:rsid w:val="001A2E06"/>
    <w:rsid w:val="001A30B8"/>
    <w:rsid w:val="001A3248"/>
    <w:rsid w:val="001A3801"/>
    <w:rsid w:val="001A3803"/>
    <w:rsid w:val="001A49B1"/>
    <w:rsid w:val="001A5712"/>
    <w:rsid w:val="001A661B"/>
    <w:rsid w:val="001A675E"/>
    <w:rsid w:val="001A6E09"/>
    <w:rsid w:val="001B0E5F"/>
    <w:rsid w:val="001B115A"/>
    <w:rsid w:val="001B13F0"/>
    <w:rsid w:val="001B24B7"/>
    <w:rsid w:val="001B2692"/>
    <w:rsid w:val="001B3243"/>
    <w:rsid w:val="001B3CBB"/>
    <w:rsid w:val="001B4160"/>
    <w:rsid w:val="001B6646"/>
    <w:rsid w:val="001B7334"/>
    <w:rsid w:val="001B7856"/>
    <w:rsid w:val="001B78DF"/>
    <w:rsid w:val="001B7AE7"/>
    <w:rsid w:val="001B7CCF"/>
    <w:rsid w:val="001C0612"/>
    <w:rsid w:val="001C08E0"/>
    <w:rsid w:val="001C0B66"/>
    <w:rsid w:val="001C1343"/>
    <w:rsid w:val="001C1A88"/>
    <w:rsid w:val="001C1E47"/>
    <w:rsid w:val="001C2080"/>
    <w:rsid w:val="001C2AB1"/>
    <w:rsid w:val="001C2CC9"/>
    <w:rsid w:val="001C353C"/>
    <w:rsid w:val="001C358F"/>
    <w:rsid w:val="001C4095"/>
    <w:rsid w:val="001C4372"/>
    <w:rsid w:val="001C5CA5"/>
    <w:rsid w:val="001C6BBC"/>
    <w:rsid w:val="001C6C0B"/>
    <w:rsid w:val="001C700A"/>
    <w:rsid w:val="001D0E33"/>
    <w:rsid w:val="001D115F"/>
    <w:rsid w:val="001D1255"/>
    <w:rsid w:val="001D133D"/>
    <w:rsid w:val="001D18C0"/>
    <w:rsid w:val="001D2646"/>
    <w:rsid w:val="001D2B99"/>
    <w:rsid w:val="001D2EC2"/>
    <w:rsid w:val="001D311F"/>
    <w:rsid w:val="001D410C"/>
    <w:rsid w:val="001D44A5"/>
    <w:rsid w:val="001D4EC3"/>
    <w:rsid w:val="001D5A67"/>
    <w:rsid w:val="001D6C23"/>
    <w:rsid w:val="001D71F7"/>
    <w:rsid w:val="001E09C6"/>
    <w:rsid w:val="001E0DFA"/>
    <w:rsid w:val="001E11EF"/>
    <w:rsid w:val="001E1282"/>
    <w:rsid w:val="001E1A28"/>
    <w:rsid w:val="001E3D03"/>
    <w:rsid w:val="001E3E1D"/>
    <w:rsid w:val="001E3E80"/>
    <w:rsid w:val="001E4589"/>
    <w:rsid w:val="001E5E34"/>
    <w:rsid w:val="001E5ED9"/>
    <w:rsid w:val="001E5FD9"/>
    <w:rsid w:val="001E6FD2"/>
    <w:rsid w:val="001E6FF1"/>
    <w:rsid w:val="001E75DF"/>
    <w:rsid w:val="001E7615"/>
    <w:rsid w:val="001E7C12"/>
    <w:rsid w:val="001F0BFC"/>
    <w:rsid w:val="001F0D02"/>
    <w:rsid w:val="001F0DA0"/>
    <w:rsid w:val="001F0E00"/>
    <w:rsid w:val="001F13DF"/>
    <w:rsid w:val="001F1DA9"/>
    <w:rsid w:val="001F2629"/>
    <w:rsid w:val="001F273E"/>
    <w:rsid w:val="001F3CB3"/>
    <w:rsid w:val="001F48A6"/>
    <w:rsid w:val="001F53E6"/>
    <w:rsid w:val="001F616C"/>
    <w:rsid w:val="001F6AB9"/>
    <w:rsid w:val="001F7758"/>
    <w:rsid w:val="001F781F"/>
    <w:rsid w:val="00200CB8"/>
    <w:rsid w:val="00201F83"/>
    <w:rsid w:val="00202056"/>
    <w:rsid w:val="00202C4B"/>
    <w:rsid w:val="00203C36"/>
    <w:rsid w:val="00203F49"/>
    <w:rsid w:val="0020412E"/>
    <w:rsid w:val="00205DE1"/>
    <w:rsid w:val="00205E4D"/>
    <w:rsid w:val="00206C08"/>
    <w:rsid w:val="00206F00"/>
    <w:rsid w:val="00207359"/>
    <w:rsid w:val="00207743"/>
    <w:rsid w:val="00207902"/>
    <w:rsid w:val="00207960"/>
    <w:rsid w:val="00207E9A"/>
    <w:rsid w:val="0021058F"/>
    <w:rsid w:val="002108EF"/>
    <w:rsid w:val="00212037"/>
    <w:rsid w:val="0021212E"/>
    <w:rsid w:val="00212607"/>
    <w:rsid w:val="00212AFF"/>
    <w:rsid w:val="00212BF0"/>
    <w:rsid w:val="00212CF9"/>
    <w:rsid w:val="0021323F"/>
    <w:rsid w:val="00213643"/>
    <w:rsid w:val="00213E32"/>
    <w:rsid w:val="00214631"/>
    <w:rsid w:val="00214C44"/>
    <w:rsid w:val="00214F17"/>
    <w:rsid w:val="00215254"/>
    <w:rsid w:val="0021699F"/>
    <w:rsid w:val="00216D30"/>
    <w:rsid w:val="00216F25"/>
    <w:rsid w:val="00217250"/>
    <w:rsid w:val="0021778E"/>
    <w:rsid w:val="0021779B"/>
    <w:rsid w:val="00217E5A"/>
    <w:rsid w:val="002217D8"/>
    <w:rsid w:val="00221BA2"/>
    <w:rsid w:val="0022217F"/>
    <w:rsid w:val="002228D6"/>
    <w:rsid w:val="00222CB4"/>
    <w:rsid w:val="00222FE1"/>
    <w:rsid w:val="002234F4"/>
    <w:rsid w:val="0022475A"/>
    <w:rsid w:val="0022487D"/>
    <w:rsid w:val="00224EFC"/>
    <w:rsid w:val="0022546A"/>
    <w:rsid w:val="00225502"/>
    <w:rsid w:val="00225B1D"/>
    <w:rsid w:val="0022662B"/>
    <w:rsid w:val="0022710F"/>
    <w:rsid w:val="00227828"/>
    <w:rsid w:val="00227DFF"/>
    <w:rsid w:val="00230F16"/>
    <w:rsid w:val="00231813"/>
    <w:rsid w:val="00231CE6"/>
    <w:rsid w:val="00231EF9"/>
    <w:rsid w:val="00232863"/>
    <w:rsid w:val="00232D9A"/>
    <w:rsid w:val="002333C1"/>
    <w:rsid w:val="00233C19"/>
    <w:rsid w:val="002340DA"/>
    <w:rsid w:val="002343CE"/>
    <w:rsid w:val="00234D60"/>
    <w:rsid w:val="002360D7"/>
    <w:rsid w:val="0023730D"/>
    <w:rsid w:val="00237500"/>
    <w:rsid w:val="00237831"/>
    <w:rsid w:val="0024096F"/>
    <w:rsid w:val="00240EB2"/>
    <w:rsid w:val="00240EF3"/>
    <w:rsid w:val="002411E7"/>
    <w:rsid w:val="002416CF"/>
    <w:rsid w:val="0024283C"/>
    <w:rsid w:val="00243407"/>
    <w:rsid w:val="002434C2"/>
    <w:rsid w:val="002442FF"/>
    <w:rsid w:val="00244C4B"/>
    <w:rsid w:val="00244E16"/>
    <w:rsid w:val="002453DA"/>
    <w:rsid w:val="002454B9"/>
    <w:rsid w:val="00246062"/>
    <w:rsid w:val="0024655E"/>
    <w:rsid w:val="0024668D"/>
    <w:rsid w:val="002469C3"/>
    <w:rsid w:val="002474D0"/>
    <w:rsid w:val="00247ADB"/>
    <w:rsid w:val="00251FDB"/>
    <w:rsid w:val="002520BA"/>
    <w:rsid w:val="00252101"/>
    <w:rsid w:val="002536DE"/>
    <w:rsid w:val="00254125"/>
    <w:rsid w:val="00254836"/>
    <w:rsid w:val="00254DE9"/>
    <w:rsid w:val="00255704"/>
    <w:rsid w:val="0025598D"/>
    <w:rsid w:val="00256B8B"/>
    <w:rsid w:val="002571CD"/>
    <w:rsid w:val="0026036B"/>
    <w:rsid w:val="00260B7C"/>
    <w:rsid w:val="00260D50"/>
    <w:rsid w:val="00263006"/>
    <w:rsid w:val="00263B12"/>
    <w:rsid w:val="00263D2B"/>
    <w:rsid w:val="00264454"/>
    <w:rsid w:val="00264642"/>
    <w:rsid w:val="00264A74"/>
    <w:rsid w:val="00264AD4"/>
    <w:rsid w:val="00264E35"/>
    <w:rsid w:val="002653E6"/>
    <w:rsid w:val="00265760"/>
    <w:rsid w:val="00265787"/>
    <w:rsid w:val="002663D1"/>
    <w:rsid w:val="00266448"/>
    <w:rsid w:val="0026736E"/>
    <w:rsid w:val="00267443"/>
    <w:rsid w:val="00267731"/>
    <w:rsid w:val="00270A28"/>
    <w:rsid w:val="00270FDD"/>
    <w:rsid w:val="00271500"/>
    <w:rsid w:val="00271828"/>
    <w:rsid w:val="00271D18"/>
    <w:rsid w:val="0027256B"/>
    <w:rsid w:val="00273927"/>
    <w:rsid w:val="0027402F"/>
    <w:rsid w:val="00275036"/>
    <w:rsid w:val="00275A7A"/>
    <w:rsid w:val="002764D7"/>
    <w:rsid w:val="00276B21"/>
    <w:rsid w:val="00276B82"/>
    <w:rsid w:val="00277C62"/>
    <w:rsid w:val="0028072E"/>
    <w:rsid w:val="00281BA5"/>
    <w:rsid w:val="002823F9"/>
    <w:rsid w:val="002826EB"/>
    <w:rsid w:val="002829A1"/>
    <w:rsid w:val="00283363"/>
    <w:rsid w:val="00284105"/>
    <w:rsid w:val="00284C29"/>
    <w:rsid w:val="00285074"/>
    <w:rsid w:val="002869A7"/>
    <w:rsid w:val="00286BD6"/>
    <w:rsid w:val="00286BF5"/>
    <w:rsid w:val="00291222"/>
    <w:rsid w:val="00291A7E"/>
    <w:rsid w:val="00291F09"/>
    <w:rsid w:val="00292696"/>
    <w:rsid w:val="002936CB"/>
    <w:rsid w:val="00293D76"/>
    <w:rsid w:val="002941EC"/>
    <w:rsid w:val="0029447D"/>
    <w:rsid w:val="00294868"/>
    <w:rsid w:val="002965B3"/>
    <w:rsid w:val="0029702A"/>
    <w:rsid w:val="00297700"/>
    <w:rsid w:val="0029773E"/>
    <w:rsid w:val="002A06A8"/>
    <w:rsid w:val="002A3C09"/>
    <w:rsid w:val="002A3CB2"/>
    <w:rsid w:val="002A3DC3"/>
    <w:rsid w:val="002A3EBB"/>
    <w:rsid w:val="002A42A1"/>
    <w:rsid w:val="002A4930"/>
    <w:rsid w:val="002A49E6"/>
    <w:rsid w:val="002A5421"/>
    <w:rsid w:val="002A5D8D"/>
    <w:rsid w:val="002A5E5B"/>
    <w:rsid w:val="002A5F3A"/>
    <w:rsid w:val="002A6088"/>
    <w:rsid w:val="002A618D"/>
    <w:rsid w:val="002A6DAB"/>
    <w:rsid w:val="002A74E1"/>
    <w:rsid w:val="002B0D7B"/>
    <w:rsid w:val="002B25B9"/>
    <w:rsid w:val="002B27B8"/>
    <w:rsid w:val="002B2F14"/>
    <w:rsid w:val="002B306C"/>
    <w:rsid w:val="002B3431"/>
    <w:rsid w:val="002B388F"/>
    <w:rsid w:val="002B3C72"/>
    <w:rsid w:val="002B3D92"/>
    <w:rsid w:val="002B4478"/>
    <w:rsid w:val="002B52CA"/>
    <w:rsid w:val="002B55FB"/>
    <w:rsid w:val="002B63AD"/>
    <w:rsid w:val="002B6CA8"/>
    <w:rsid w:val="002B6DC1"/>
    <w:rsid w:val="002B75F4"/>
    <w:rsid w:val="002B792B"/>
    <w:rsid w:val="002C1202"/>
    <w:rsid w:val="002C185D"/>
    <w:rsid w:val="002C20D5"/>
    <w:rsid w:val="002C2461"/>
    <w:rsid w:val="002C2CF8"/>
    <w:rsid w:val="002C3AD7"/>
    <w:rsid w:val="002C5102"/>
    <w:rsid w:val="002C591D"/>
    <w:rsid w:val="002C63A3"/>
    <w:rsid w:val="002C6961"/>
    <w:rsid w:val="002C69EA"/>
    <w:rsid w:val="002C6B03"/>
    <w:rsid w:val="002C6E8F"/>
    <w:rsid w:val="002D0182"/>
    <w:rsid w:val="002D0AFA"/>
    <w:rsid w:val="002D1E0D"/>
    <w:rsid w:val="002D2503"/>
    <w:rsid w:val="002D286B"/>
    <w:rsid w:val="002D2B37"/>
    <w:rsid w:val="002D3AB7"/>
    <w:rsid w:val="002D3C44"/>
    <w:rsid w:val="002D3E41"/>
    <w:rsid w:val="002D418E"/>
    <w:rsid w:val="002D455B"/>
    <w:rsid w:val="002D4B9C"/>
    <w:rsid w:val="002D4CA3"/>
    <w:rsid w:val="002D56C3"/>
    <w:rsid w:val="002D5C11"/>
    <w:rsid w:val="002D6DD7"/>
    <w:rsid w:val="002D788D"/>
    <w:rsid w:val="002E0E94"/>
    <w:rsid w:val="002E1056"/>
    <w:rsid w:val="002E10C6"/>
    <w:rsid w:val="002E1FFB"/>
    <w:rsid w:val="002E243A"/>
    <w:rsid w:val="002E3058"/>
    <w:rsid w:val="002E308B"/>
    <w:rsid w:val="002E466E"/>
    <w:rsid w:val="002E53F5"/>
    <w:rsid w:val="002E58EC"/>
    <w:rsid w:val="002E593D"/>
    <w:rsid w:val="002E666D"/>
    <w:rsid w:val="002E6822"/>
    <w:rsid w:val="002E7137"/>
    <w:rsid w:val="002F0776"/>
    <w:rsid w:val="002F0B75"/>
    <w:rsid w:val="002F0CB8"/>
    <w:rsid w:val="002F110D"/>
    <w:rsid w:val="002F18E3"/>
    <w:rsid w:val="002F1ECC"/>
    <w:rsid w:val="002F2B23"/>
    <w:rsid w:val="002F3F76"/>
    <w:rsid w:val="002F4133"/>
    <w:rsid w:val="002F4BFD"/>
    <w:rsid w:val="002F5FBF"/>
    <w:rsid w:val="002F624C"/>
    <w:rsid w:val="002F6A01"/>
    <w:rsid w:val="002F7203"/>
    <w:rsid w:val="002F739E"/>
    <w:rsid w:val="00300A26"/>
    <w:rsid w:val="0030143A"/>
    <w:rsid w:val="00301BA4"/>
    <w:rsid w:val="00301F1C"/>
    <w:rsid w:val="00301F4B"/>
    <w:rsid w:val="00302620"/>
    <w:rsid w:val="00302C1E"/>
    <w:rsid w:val="00303598"/>
    <w:rsid w:val="00303DBE"/>
    <w:rsid w:val="00304217"/>
    <w:rsid w:val="003045B0"/>
    <w:rsid w:val="00304853"/>
    <w:rsid w:val="00305C27"/>
    <w:rsid w:val="0030609E"/>
    <w:rsid w:val="00306D6E"/>
    <w:rsid w:val="00307691"/>
    <w:rsid w:val="0031008A"/>
    <w:rsid w:val="0031073A"/>
    <w:rsid w:val="00310879"/>
    <w:rsid w:val="00311022"/>
    <w:rsid w:val="003112EA"/>
    <w:rsid w:val="0031274D"/>
    <w:rsid w:val="00313166"/>
    <w:rsid w:val="00314840"/>
    <w:rsid w:val="00314E9F"/>
    <w:rsid w:val="00314EF1"/>
    <w:rsid w:val="003154C2"/>
    <w:rsid w:val="003158EC"/>
    <w:rsid w:val="0032074F"/>
    <w:rsid w:val="003209F4"/>
    <w:rsid w:val="00320BAB"/>
    <w:rsid w:val="003210CB"/>
    <w:rsid w:val="0032112C"/>
    <w:rsid w:val="00322203"/>
    <w:rsid w:val="00323D9C"/>
    <w:rsid w:val="003254F5"/>
    <w:rsid w:val="003255E3"/>
    <w:rsid w:val="00325DFF"/>
    <w:rsid w:val="00326156"/>
    <w:rsid w:val="00326627"/>
    <w:rsid w:val="00326D6C"/>
    <w:rsid w:val="003278E6"/>
    <w:rsid w:val="00327CF5"/>
    <w:rsid w:val="00330E22"/>
    <w:rsid w:val="00331388"/>
    <w:rsid w:val="00332B04"/>
    <w:rsid w:val="00333405"/>
    <w:rsid w:val="00333E4A"/>
    <w:rsid w:val="0033481F"/>
    <w:rsid w:val="00334B1C"/>
    <w:rsid w:val="0033505B"/>
    <w:rsid w:val="003350DD"/>
    <w:rsid w:val="00335989"/>
    <w:rsid w:val="00337D37"/>
    <w:rsid w:val="00340618"/>
    <w:rsid w:val="00342279"/>
    <w:rsid w:val="00342347"/>
    <w:rsid w:val="0034281C"/>
    <w:rsid w:val="00342C99"/>
    <w:rsid w:val="003436FD"/>
    <w:rsid w:val="003442B3"/>
    <w:rsid w:val="0034794C"/>
    <w:rsid w:val="003501FA"/>
    <w:rsid w:val="00350B62"/>
    <w:rsid w:val="00350C2C"/>
    <w:rsid w:val="00350C87"/>
    <w:rsid w:val="00350EA9"/>
    <w:rsid w:val="003512DC"/>
    <w:rsid w:val="0035131E"/>
    <w:rsid w:val="0035218C"/>
    <w:rsid w:val="003523EA"/>
    <w:rsid w:val="003534B2"/>
    <w:rsid w:val="0035382A"/>
    <w:rsid w:val="00353AB2"/>
    <w:rsid w:val="00353C69"/>
    <w:rsid w:val="003547F4"/>
    <w:rsid w:val="0035572E"/>
    <w:rsid w:val="00355BA6"/>
    <w:rsid w:val="00356285"/>
    <w:rsid w:val="00357273"/>
    <w:rsid w:val="00357AD8"/>
    <w:rsid w:val="00357C33"/>
    <w:rsid w:val="00360681"/>
    <w:rsid w:val="0036124F"/>
    <w:rsid w:val="003616C9"/>
    <w:rsid w:val="00361CBC"/>
    <w:rsid w:val="003626C1"/>
    <w:rsid w:val="00362B93"/>
    <w:rsid w:val="00363DC1"/>
    <w:rsid w:val="00363F62"/>
    <w:rsid w:val="00364230"/>
    <w:rsid w:val="003645F0"/>
    <w:rsid w:val="00364AD4"/>
    <w:rsid w:val="003654EF"/>
    <w:rsid w:val="00365D77"/>
    <w:rsid w:val="003661B4"/>
    <w:rsid w:val="00366494"/>
    <w:rsid w:val="0036693B"/>
    <w:rsid w:val="00367E29"/>
    <w:rsid w:val="003700A7"/>
    <w:rsid w:val="00370CCB"/>
    <w:rsid w:val="003711B4"/>
    <w:rsid w:val="00371B62"/>
    <w:rsid w:val="00373298"/>
    <w:rsid w:val="0037414A"/>
    <w:rsid w:val="00375810"/>
    <w:rsid w:val="00375C2C"/>
    <w:rsid w:val="00377257"/>
    <w:rsid w:val="003772AE"/>
    <w:rsid w:val="003773C8"/>
    <w:rsid w:val="003773EB"/>
    <w:rsid w:val="00377D77"/>
    <w:rsid w:val="00380252"/>
    <w:rsid w:val="00381645"/>
    <w:rsid w:val="0038198C"/>
    <w:rsid w:val="00382207"/>
    <w:rsid w:val="00382210"/>
    <w:rsid w:val="00383530"/>
    <w:rsid w:val="0038414B"/>
    <w:rsid w:val="00384FB6"/>
    <w:rsid w:val="003860BF"/>
    <w:rsid w:val="00386449"/>
    <w:rsid w:val="0038724D"/>
    <w:rsid w:val="00387D97"/>
    <w:rsid w:val="00390C95"/>
    <w:rsid w:val="00392B4C"/>
    <w:rsid w:val="0039333D"/>
    <w:rsid w:val="003940D9"/>
    <w:rsid w:val="0039425F"/>
    <w:rsid w:val="00394796"/>
    <w:rsid w:val="00394D7C"/>
    <w:rsid w:val="003951BD"/>
    <w:rsid w:val="003956F6"/>
    <w:rsid w:val="003959CF"/>
    <w:rsid w:val="003976F3"/>
    <w:rsid w:val="0039787B"/>
    <w:rsid w:val="00397AD5"/>
    <w:rsid w:val="00397FD3"/>
    <w:rsid w:val="003A0926"/>
    <w:rsid w:val="003A0D9B"/>
    <w:rsid w:val="003A1A1C"/>
    <w:rsid w:val="003A207E"/>
    <w:rsid w:val="003A2D83"/>
    <w:rsid w:val="003A4141"/>
    <w:rsid w:val="003A47EE"/>
    <w:rsid w:val="003A5007"/>
    <w:rsid w:val="003A6C7E"/>
    <w:rsid w:val="003A717B"/>
    <w:rsid w:val="003A7A3E"/>
    <w:rsid w:val="003A7B75"/>
    <w:rsid w:val="003A7E6A"/>
    <w:rsid w:val="003B03D6"/>
    <w:rsid w:val="003B0787"/>
    <w:rsid w:val="003B0DC0"/>
    <w:rsid w:val="003B120D"/>
    <w:rsid w:val="003B147A"/>
    <w:rsid w:val="003B1C01"/>
    <w:rsid w:val="003B1C2A"/>
    <w:rsid w:val="003B29D8"/>
    <w:rsid w:val="003B4408"/>
    <w:rsid w:val="003B55EC"/>
    <w:rsid w:val="003B5D72"/>
    <w:rsid w:val="003B713E"/>
    <w:rsid w:val="003B72BF"/>
    <w:rsid w:val="003B7803"/>
    <w:rsid w:val="003B7D3E"/>
    <w:rsid w:val="003C1803"/>
    <w:rsid w:val="003C2AE5"/>
    <w:rsid w:val="003C2C61"/>
    <w:rsid w:val="003C320E"/>
    <w:rsid w:val="003C328D"/>
    <w:rsid w:val="003C3D54"/>
    <w:rsid w:val="003C3E8C"/>
    <w:rsid w:val="003C5B99"/>
    <w:rsid w:val="003C693F"/>
    <w:rsid w:val="003C77A0"/>
    <w:rsid w:val="003C7CD5"/>
    <w:rsid w:val="003D0077"/>
    <w:rsid w:val="003D0171"/>
    <w:rsid w:val="003D03D8"/>
    <w:rsid w:val="003D06F6"/>
    <w:rsid w:val="003D08E4"/>
    <w:rsid w:val="003D0A1F"/>
    <w:rsid w:val="003D121E"/>
    <w:rsid w:val="003D1519"/>
    <w:rsid w:val="003D151B"/>
    <w:rsid w:val="003D267A"/>
    <w:rsid w:val="003D2693"/>
    <w:rsid w:val="003D323D"/>
    <w:rsid w:val="003D32FE"/>
    <w:rsid w:val="003D35F2"/>
    <w:rsid w:val="003D3949"/>
    <w:rsid w:val="003D3B93"/>
    <w:rsid w:val="003D5B4F"/>
    <w:rsid w:val="003D6345"/>
    <w:rsid w:val="003D654D"/>
    <w:rsid w:val="003D7A9F"/>
    <w:rsid w:val="003E015A"/>
    <w:rsid w:val="003E062A"/>
    <w:rsid w:val="003E0643"/>
    <w:rsid w:val="003E0D28"/>
    <w:rsid w:val="003E3D40"/>
    <w:rsid w:val="003E3E8D"/>
    <w:rsid w:val="003E48A8"/>
    <w:rsid w:val="003E4954"/>
    <w:rsid w:val="003E5255"/>
    <w:rsid w:val="003E552D"/>
    <w:rsid w:val="003E577D"/>
    <w:rsid w:val="003E57F3"/>
    <w:rsid w:val="003E5DDC"/>
    <w:rsid w:val="003E5EC5"/>
    <w:rsid w:val="003E6DFE"/>
    <w:rsid w:val="003E6F17"/>
    <w:rsid w:val="003E7BDA"/>
    <w:rsid w:val="003E7C78"/>
    <w:rsid w:val="003E7F26"/>
    <w:rsid w:val="003F03DA"/>
    <w:rsid w:val="003F0751"/>
    <w:rsid w:val="003F0FE5"/>
    <w:rsid w:val="003F1601"/>
    <w:rsid w:val="003F1D5A"/>
    <w:rsid w:val="003F1E1C"/>
    <w:rsid w:val="003F2A85"/>
    <w:rsid w:val="003F3522"/>
    <w:rsid w:val="003F519F"/>
    <w:rsid w:val="003F51B4"/>
    <w:rsid w:val="003F5E56"/>
    <w:rsid w:val="003F60BC"/>
    <w:rsid w:val="003F6572"/>
    <w:rsid w:val="003F77A2"/>
    <w:rsid w:val="003F7C22"/>
    <w:rsid w:val="003F7C7D"/>
    <w:rsid w:val="00400489"/>
    <w:rsid w:val="00400609"/>
    <w:rsid w:val="00400915"/>
    <w:rsid w:val="00401554"/>
    <w:rsid w:val="0040271B"/>
    <w:rsid w:val="004027DA"/>
    <w:rsid w:val="00402B15"/>
    <w:rsid w:val="00402C87"/>
    <w:rsid w:val="004031A9"/>
    <w:rsid w:val="00403901"/>
    <w:rsid w:val="00404AB0"/>
    <w:rsid w:val="00405495"/>
    <w:rsid w:val="00405980"/>
    <w:rsid w:val="00405C23"/>
    <w:rsid w:val="004065E5"/>
    <w:rsid w:val="004071CF"/>
    <w:rsid w:val="00410791"/>
    <w:rsid w:val="004109EB"/>
    <w:rsid w:val="00410D35"/>
    <w:rsid w:val="004111FA"/>
    <w:rsid w:val="00411AD5"/>
    <w:rsid w:val="00411B54"/>
    <w:rsid w:val="0041255A"/>
    <w:rsid w:val="00412942"/>
    <w:rsid w:val="00413100"/>
    <w:rsid w:val="00414705"/>
    <w:rsid w:val="00414A87"/>
    <w:rsid w:val="00414F04"/>
    <w:rsid w:val="0041515F"/>
    <w:rsid w:val="0041575A"/>
    <w:rsid w:val="00416DEE"/>
    <w:rsid w:val="004205E8"/>
    <w:rsid w:val="00420B29"/>
    <w:rsid w:val="00421C79"/>
    <w:rsid w:val="00422A25"/>
    <w:rsid w:val="00422B68"/>
    <w:rsid w:val="00422D85"/>
    <w:rsid w:val="004234AE"/>
    <w:rsid w:val="00424AE0"/>
    <w:rsid w:val="00424C34"/>
    <w:rsid w:val="00426E67"/>
    <w:rsid w:val="00427B73"/>
    <w:rsid w:val="004302BB"/>
    <w:rsid w:val="00430590"/>
    <w:rsid w:val="00431212"/>
    <w:rsid w:val="0043179F"/>
    <w:rsid w:val="00431947"/>
    <w:rsid w:val="00431BFA"/>
    <w:rsid w:val="00433746"/>
    <w:rsid w:val="00433C08"/>
    <w:rsid w:val="00434A95"/>
    <w:rsid w:val="00434B93"/>
    <w:rsid w:val="00435823"/>
    <w:rsid w:val="004364DA"/>
    <w:rsid w:val="00436ADE"/>
    <w:rsid w:val="00436F14"/>
    <w:rsid w:val="00437226"/>
    <w:rsid w:val="0044046A"/>
    <w:rsid w:val="00440ADC"/>
    <w:rsid w:val="00441C9C"/>
    <w:rsid w:val="00441F1A"/>
    <w:rsid w:val="0044393A"/>
    <w:rsid w:val="00443D71"/>
    <w:rsid w:val="00443DC9"/>
    <w:rsid w:val="004449E2"/>
    <w:rsid w:val="00444C6A"/>
    <w:rsid w:val="00445D9B"/>
    <w:rsid w:val="0044666B"/>
    <w:rsid w:val="004476AC"/>
    <w:rsid w:val="004478D2"/>
    <w:rsid w:val="00447C53"/>
    <w:rsid w:val="00447E24"/>
    <w:rsid w:val="004503C1"/>
    <w:rsid w:val="0045065F"/>
    <w:rsid w:val="00451591"/>
    <w:rsid w:val="004516EA"/>
    <w:rsid w:val="00453413"/>
    <w:rsid w:val="00453E4C"/>
    <w:rsid w:val="00453FCB"/>
    <w:rsid w:val="00454D6E"/>
    <w:rsid w:val="004558EC"/>
    <w:rsid w:val="00456059"/>
    <w:rsid w:val="00457841"/>
    <w:rsid w:val="004579FA"/>
    <w:rsid w:val="0046036E"/>
    <w:rsid w:val="0046059A"/>
    <w:rsid w:val="00460658"/>
    <w:rsid w:val="00460D25"/>
    <w:rsid w:val="004612FC"/>
    <w:rsid w:val="00461337"/>
    <w:rsid w:val="00461526"/>
    <w:rsid w:val="0046341B"/>
    <w:rsid w:val="00463BD2"/>
    <w:rsid w:val="00464C56"/>
    <w:rsid w:val="00465166"/>
    <w:rsid w:val="004653C2"/>
    <w:rsid w:val="00465C12"/>
    <w:rsid w:val="00466234"/>
    <w:rsid w:val="00467E1D"/>
    <w:rsid w:val="00467E2B"/>
    <w:rsid w:val="00471C5C"/>
    <w:rsid w:val="00471D22"/>
    <w:rsid w:val="00475666"/>
    <w:rsid w:val="0047590D"/>
    <w:rsid w:val="00476558"/>
    <w:rsid w:val="00476739"/>
    <w:rsid w:val="004767CA"/>
    <w:rsid w:val="00477F30"/>
    <w:rsid w:val="00480160"/>
    <w:rsid w:val="004806DB"/>
    <w:rsid w:val="0048096B"/>
    <w:rsid w:val="00480C1E"/>
    <w:rsid w:val="00481413"/>
    <w:rsid w:val="004821F3"/>
    <w:rsid w:val="00482476"/>
    <w:rsid w:val="004824AE"/>
    <w:rsid w:val="00482549"/>
    <w:rsid w:val="00482D9F"/>
    <w:rsid w:val="00482DC6"/>
    <w:rsid w:val="00483229"/>
    <w:rsid w:val="00483290"/>
    <w:rsid w:val="00483FD4"/>
    <w:rsid w:val="00484A03"/>
    <w:rsid w:val="004852D3"/>
    <w:rsid w:val="00486297"/>
    <w:rsid w:val="00491154"/>
    <w:rsid w:val="00491D0A"/>
    <w:rsid w:val="00494542"/>
    <w:rsid w:val="00494A75"/>
    <w:rsid w:val="00495EB9"/>
    <w:rsid w:val="004962D6"/>
    <w:rsid w:val="004965DC"/>
    <w:rsid w:val="00496738"/>
    <w:rsid w:val="00496AAC"/>
    <w:rsid w:val="004A027E"/>
    <w:rsid w:val="004A160F"/>
    <w:rsid w:val="004A2147"/>
    <w:rsid w:val="004A2A2A"/>
    <w:rsid w:val="004A2BF9"/>
    <w:rsid w:val="004A2F10"/>
    <w:rsid w:val="004A39A1"/>
    <w:rsid w:val="004A3FCE"/>
    <w:rsid w:val="004A3FF1"/>
    <w:rsid w:val="004A4619"/>
    <w:rsid w:val="004A49D5"/>
    <w:rsid w:val="004A5204"/>
    <w:rsid w:val="004A788C"/>
    <w:rsid w:val="004B0A49"/>
    <w:rsid w:val="004B119F"/>
    <w:rsid w:val="004B1435"/>
    <w:rsid w:val="004B14A8"/>
    <w:rsid w:val="004B1B6F"/>
    <w:rsid w:val="004B1DF4"/>
    <w:rsid w:val="004B29F0"/>
    <w:rsid w:val="004B31A4"/>
    <w:rsid w:val="004B3437"/>
    <w:rsid w:val="004B3DDE"/>
    <w:rsid w:val="004B3F42"/>
    <w:rsid w:val="004B4B5E"/>
    <w:rsid w:val="004B501E"/>
    <w:rsid w:val="004B5140"/>
    <w:rsid w:val="004B528C"/>
    <w:rsid w:val="004B6C52"/>
    <w:rsid w:val="004B6C72"/>
    <w:rsid w:val="004B7215"/>
    <w:rsid w:val="004B72FF"/>
    <w:rsid w:val="004B7ADF"/>
    <w:rsid w:val="004B7B6B"/>
    <w:rsid w:val="004C0D4E"/>
    <w:rsid w:val="004C2445"/>
    <w:rsid w:val="004C261F"/>
    <w:rsid w:val="004C2F88"/>
    <w:rsid w:val="004C3803"/>
    <w:rsid w:val="004C394C"/>
    <w:rsid w:val="004C5023"/>
    <w:rsid w:val="004C5076"/>
    <w:rsid w:val="004C50EC"/>
    <w:rsid w:val="004C5598"/>
    <w:rsid w:val="004C594C"/>
    <w:rsid w:val="004C5B5E"/>
    <w:rsid w:val="004C5DD7"/>
    <w:rsid w:val="004C5FF6"/>
    <w:rsid w:val="004C692D"/>
    <w:rsid w:val="004C6D78"/>
    <w:rsid w:val="004C7FEF"/>
    <w:rsid w:val="004D01E2"/>
    <w:rsid w:val="004D01E7"/>
    <w:rsid w:val="004D0617"/>
    <w:rsid w:val="004D171E"/>
    <w:rsid w:val="004D284B"/>
    <w:rsid w:val="004D2901"/>
    <w:rsid w:val="004D2E31"/>
    <w:rsid w:val="004D4AAA"/>
    <w:rsid w:val="004D4FE3"/>
    <w:rsid w:val="004D5CA3"/>
    <w:rsid w:val="004D6627"/>
    <w:rsid w:val="004D6949"/>
    <w:rsid w:val="004D6AF8"/>
    <w:rsid w:val="004D6D70"/>
    <w:rsid w:val="004D7AFF"/>
    <w:rsid w:val="004D7DAB"/>
    <w:rsid w:val="004E0952"/>
    <w:rsid w:val="004E10C1"/>
    <w:rsid w:val="004E2C42"/>
    <w:rsid w:val="004E3117"/>
    <w:rsid w:val="004E34A3"/>
    <w:rsid w:val="004E3959"/>
    <w:rsid w:val="004E3CE0"/>
    <w:rsid w:val="004E409C"/>
    <w:rsid w:val="004E4B3B"/>
    <w:rsid w:val="004E5210"/>
    <w:rsid w:val="004E5744"/>
    <w:rsid w:val="004E6A69"/>
    <w:rsid w:val="004E6CF5"/>
    <w:rsid w:val="004E741B"/>
    <w:rsid w:val="004E77E2"/>
    <w:rsid w:val="004E7B93"/>
    <w:rsid w:val="004F1ABD"/>
    <w:rsid w:val="004F1C45"/>
    <w:rsid w:val="004F1D7C"/>
    <w:rsid w:val="004F24ED"/>
    <w:rsid w:val="004F2B89"/>
    <w:rsid w:val="004F332F"/>
    <w:rsid w:val="004F348C"/>
    <w:rsid w:val="004F4BC0"/>
    <w:rsid w:val="004F750B"/>
    <w:rsid w:val="004F76FA"/>
    <w:rsid w:val="00500028"/>
    <w:rsid w:val="005009C9"/>
    <w:rsid w:val="005010D5"/>
    <w:rsid w:val="0050114C"/>
    <w:rsid w:val="00501265"/>
    <w:rsid w:val="005025D6"/>
    <w:rsid w:val="005026D3"/>
    <w:rsid w:val="005027C2"/>
    <w:rsid w:val="0050282B"/>
    <w:rsid w:val="0050337D"/>
    <w:rsid w:val="0050387C"/>
    <w:rsid w:val="00503BFC"/>
    <w:rsid w:val="00504F48"/>
    <w:rsid w:val="00505830"/>
    <w:rsid w:val="00507607"/>
    <w:rsid w:val="00511294"/>
    <w:rsid w:val="00511EEE"/>
    <w:rsid w:val="005145A4"/>
    <w:rsid w:val="00514D1B"/>
    <w:rsid w:val="00515E38"/>
    <w:rsid w:val="00515FAE"/>
    <w:rsid w:val="00516555"/>
    <w:rsid w:val="00516F48"/>
    <w:rsid w:val="0052012C"/>
    <w:rsid w:val="00520A71"/>
    <w:rsid w:val="00520B94"/>
    <w:rsid w:val="005229A4"/>
    <w:rsid w:val="005229D1"/>
    <w:rsid w:val="005231DF"/>
    <w:rsid w:val="00523367"/>
    <w:rsid w:val="00523420"/>
    <w:rsid w:val="00523C33"/>
    <w:rsid w:val="00524344"/>
    <w:rsid w:val="00524BDA"/>
    <w:rsid w:val="00524D11"/>
    <w:rsid w:val="00525514"/>
    <w:rsid w:val="005255C5"/>
    <w:rsid w:val="005257B0"/>
    <w:rsid w:val="00525865"/>
    <w:rsid w:val="00526991"/>
    <w:rsid w:val="005272D2"/>
    <w:rsid w:val="00527EB5"/>
    <w:rsid w:val="00527F54"/>
    <w:rsid w:val="00530266"/>
    <w:rsid w:val="00530616"/>
    <w:rsid w:val="005306A6"/>
    <w:rsid w:val="005312AC"/>
    <w:rsid w:val="00531B4D"/>
    <w:rsid w:val="00532367"/>
    <w:rsid w:val="00532C2C"/>
    <w:rsid w:val="00532E93"/>
    <w:rsid w:val="005334AA"/>
    <w:rsid w:val="00533CB9"/>
    <w:rsid w:val="00533D8D"/>
    <w:rsid w:val="00534B47"/>
    <w:rsid w:val="00534F51"/>
    <w:rsid w:val="005352F9"/>
    <w:rsid w:val="00535964"/>
    <w:rsid w:val="00535DB4"/>
    <w:rsid w:val="0053602D"/>
    <w:rsid w:val="00536112"/>
    <w:rsid w:val="005403D7"/>
    <w:rsid w:val="0054076D"/>
    <w:rsid w:val="0054106E"/>
    <w:rsid w:val="00542993"/>
    <w:rsid w:val="00543221"/>
    <w:rsid w:val="005436A9"/>
    <w:rsid w:val="00543727"/>
    <w:rsid w:val="00544AA6"/>
    <w:rsid w:val="00545216"/>
    <w:rsid w:val="005469C8"/>
    <w:rsid w:val="0054702C"/>
    <w:rsid w:val="005476AE"/>
    <w:rsid w:val="00550721"/>
    <w:rsid w:val="00551B1C"/>
    <w:rsid w:val="00551C1F"/>
    <w:rsid w:val="00552727"/>
    <w:rsid w:val="005527C2"/>
    <w:rsid w:val="00552DBE"/>
    <w:rsid w:val="00553272"/>
    <w:rsid w:val="0055341C"/>
    <w:rsid w:val="005535A2"/>
    <w:rsid w:val="00553A94"/>
    <w:rsid w:val="00553CAA"/>
    <w:rsid w:val="00554E4E"/>
    <w:rsid w:val="00555040"/>
    <w:rsid w:val="0055587D"/>
    <w:rsid w:val="00555D0A"/>
    <w:rsid w:val="0055630A"/>
    <w:rsid w:val="00556B6A"/>
    <w:rsid w:val="00557645"/>
    <w:rsid w:val="00560257"/>
    <w:rsid w:val="0056088A"/>
    <w:rsid w:val="00562112"/>
    <w:rsid w:val="00563A9A"/>
    <w:rsid w:val="005640B0"/>
    <w:rsid w:val="005642B0"/>
    <w:rsid w:val="00565F17"/>
    <w:rsid w:val="0056610B"/>
    <w:rsid w:val="005665A4"/>
    <w:rsid w:val="00566678"/>
    <w:rsid w:val="00566C17"/>
    <w:rsid w:val="00567C80"/>
    <w:rsid w:val="00567E4F"/>
    <w:rsid w:val="005702A4"/>
    <w:rsid w:val="005734CD"/>
    <w:rsid w:val="00573B01"/>
    <w:rsid w:val="00573F7F"/>
    <w:rsid w:val="00574318"/>
    <w:rsid w:val="00574B42"/>
    <w:rsid w:val="00574D63"/>
    <w:rsid w:val="005755FF"/>
    <w:rsid w:val="0057564D"/>
    <w:rsid w:val="00576395"/>
    <w:rsid w:val="0057682C"/>
    <w:rsid w:val="00582BDF"/>
    <w:rsid w:val="00582C8F"/>
    <w:rsid w:val="00582D43"/>
    <w:rsid w:val="00582DAA"/>
    <w:rsid w:val="00583575"/>
    <w:rsid w:val="00583FF2"/>
    <w:rsid w:val="005852B7"/>
    <w:rsid w:val="00585417"/>
    <w:rsid w:val="0058564C"/>
    <w:rsid w:val="00586007"/>
    <w:rsid w:val="00586A2A"/>
    <w:rsid w:val="00586E8B"/>
    <w:rsid w:val="00587354"/>
    <w:rsid w:val="005908FB"/>
    <w:rsid w:val="00591550"/>
    <w:rsid w:val="005916E6"/>
    <w:rsid w:val="005916E9"/>
    <w:rsid w:val="00591B67"/>
    <w:rsid w:val="00592470"/>
    <w:rsid w:val="005924FF"/>
    <w:rsid w:val="00593A32"/>
    <w:rsid w:val="00593EA8"/>
    <w:rsid w:val="00594100"/>
    <w:rsid w:val="00594AFC"/>
    <w:rsid w:val="00594B9F"/>
    <w:rsid w:val="00594BC8"/>
    <w:rsid w:val="00594C0B"/>
    <w:rsid w:val="00594E18"/>
    <w:rsid w:val="00594F89"/>
    <w:rsid w:val="00595164"/>
    <w:rsid w:val="00595A44"/>
    <w:rsid w:val="00596230"/>
    <w:rsid w:val="00596305"/>
    <w:rsid w:val="00597661"/>
    <w:rsid w:val="00597CF7"/>
    <w:rsid w:val="00597FDA"/>
    <w:rsid w:val="005A0885"/>
    <w:rsid w:val="005A090B"/>
    <w:rsid w:val="005A0E82"/>
    <w:rsid w:val="005A2454"/>
    <w:rsid w:val="005A29F1"/>
    <w:rsid w:val="005A2CEC"/>
    <w:rsid w:val="005A34A4"/>
    <w:rsid w:val="005A3516"/>
    <w:rsid w:val="005A3A7C"/>
    <w:rsid w:val="005A4001"/>
    <w:rsid w:val="005A4429"/>
    <w:rsid w:val="005A46E5"/>
    <w:rsid w:val="005A4A28"/>
    <w:rsid w:val="005A4DF4"/>
    <w:rsid w:val="005A4E44"/>
    <w:rsid w:val="005A508F"/>
    <w:rsid w:val="005A57AF"/>
    <w:rsid w:val="005A5AF4"/>
    <w:rsid w:val="005A686C"/>
    <w:rsid w:val="005A69DA"/>
    <w:rsid w:val="005A7F7D"/>
    <w:rsid w:val="005B00ED"/>
    <w:rsid w:val="005B01A0"/>
    <w:rsid w:val="005B0840"/>
    <w:rsid w:val="005B1208"/>
    <w:rsid w:val="005B12ED"/>
    <w:rsid w:val="005B1694"/>
    <w:rsid w:val="005B1F7E"/>
    <w:rsid w:val="005B2206"/>
    <w:rsid w:val="005B268D"/>
    <w:rsid w:val="005B2A56"/>
    <w:rsid w:val="005B2C53"/>
    <w:rsid w:val="005B2E0E"/>
    <w:rsid w:val="005B38BE"/>
    <w:rsid w:val="005B3CCA"/>
    <w:rsid w:val="005B45A5"/>
    <w:rsid w:val="005B5869"/>
    <w:rsid w:val="005B59D6"/>
    <w:rsid w:val="005B6612"/>
    <w:rsid w:val="005B69D1"/>
    <w:rsid w:val="005C1CE8"/>
    <w:rsid w:val="005C2CBC"/>
    <w:rsid w:val="005C2E57"/>
    <w:rsid w:val="005C2FEC"/>
    <w:rsid w:val="005C35E4"/>
    <w:rsid w:val="005C3C07"/>
    <w:rsid w:val="005C3CB2"/>
    <w:rsid w:val="005C5083"/>
    <w:rsid w:val="005C564C"/>
    <w:rsid w:val="005C5A5F"/>
    <w:rsid w:val="005C63D4"/>
    <w:rsid w:val="005C7611"/>
    <w:rsid w:val="005C7931"/>
    <w:rsid w:val="005C7967"/>
    <w:rsid w:val="005D2D82"/>
    <w:rsid w:val="005D3655"/>
    <w:rsid w:val="005D3E23"/>
    <w:rsid w:val="005D3F9E"/>
    <w:rsid w:val="005D44A6"/>
    <w:rsid w:val="005D4530"/>
    <w:rsid w:val="005D485C"/>
    <w:rsid w:val="005D5572"/>
    <w:rsid w:val="005D5C4B"/>
    <w:rsid w:val="005D5F79"/>
    <w:rsid w:val="005D6088"/>
    <w:rsid w:val="005E0218"/>
    <w:rsid w:val="005E16B1"/>
    <w:rsid w:val="005E173A"/>
    <w:rsid w:val="005E2FCB"/>
    <w:rsid w:val="005E3658"/>
    <w:rsid w:val="005E3949"/>
    <w:rsid w:val="005E6B5C"/>
    <w:rsid w:val="005E72D3"/>
    <w:rsid w:val="005E7488"/>
    <w:rsid w:val="005F0701"/>
    <w:rsid w:val="005F2280"/>
    <w:rsid w:val="005F25D4"/>
    <w:rsid w:val="005F2A18"/>
    <w:rsid w:val="005F2CCD"/>
    <w:rsid w:val="005F3E48"/>
    <w:rsid w:val="005F41B6"/>
    <w:rsid w:val="005F4D75"/>
    <w:rsid w:val="005F5288"/>
    <w:rsid w:val="005F5CA2"/>
    <w:rsid w:val="005F5CBA"/>
    <w:rsid w:val="005F63AF"/>
    <w:rsid w:val="005F65E1"/>
    <w:rsid w:val="005F6BB6"/>
    <w:rsid w:val="005F6E10"/>
    <w:rsid w:val="005F7840"/>
    <w:rsid w:val="00602336"/>
    <w:rsid w:val="00602714"/>
    <w:rsid w:val="00602BC6"/>
    <w:rsid w:val="00602BED"/>
    <w:rsid w:val="0060334D"/>
    <w:rsid w:val="00603419"/>
    <w:rsid w:val="00603DFA"/>
    <w:rsid w:val="00605A25"/>
    <w:rsid w:val="00605CDB"/>
    <w:rsid w:val="006070F7"/>
    <w:rsid w:val="00607272"/>
    <w:rsid w:val="00607CAD"/>
    <w:rsid w:val="00607F92"/>
    <w:rsid w:val="0061192D"/>
    <w:rsid w:val="00611CC3"/>
    <w:rsid w:val="00611CF6"/>
    <w:rsid w:val="006122D4"/>
    <w:rsid w:val="0061241E"/>
    <w:rsid w:val="00612B38"/>
    <w:rsid w:val="00612DB2"/>
    <w:rsid w:val="0061341D"/>
    <w:rsid w:val="00613510"/>
    <w:rsid w:val="00613A4E"/>
    <w:rsid w:val="0061464B"/>
    <w:rsid w:val="00614C3C"/>
    <w:rsid w:val="0061554C"/>
    <w:rsid w:val="0061584E"/>
    <w:rsid w:val="006209E1"/>
    <w:rsid w:val="00620E3D"/>
    <w:rsid w:val="00621403"/>
    <w:rsid w:val="00621C37"/>
    <w:rsid w:val="00622D8B"/>
    <w:rsid w:val="0062344D"/>
    <w:rsid w:val="00623F26"/>
    <w:rsid w:val="00623F99"/>
    <w:rsid w:val="00624953"/>
    <w:rsid w:val="00625E8F"/>
    <w:rsid w:val="00625FEF"/>
    <w:rsid w:val="00626619"/>
    <w:rsid w:val="00627F16"/>
    <w:rsid w:val="00627F24"/>
    <w:rsid w:val="00627FCA"/>
    <w:rsid w:val="00630B39"/>
    <w:rsid w:val="0063249C"/>
    <w:rsid w:val="00632D39"/>
    <w:rsid w:val="006331CE"/>
    <w:rsid w:val="00634009"/>
    <w:rsid w:val="006351C4"/>
    <w:rsid w:val="0063769F"/>
    <w:rsid w:val="00637C40"/>
    <w:rsid w:val="00637CF0"/>
    <w:rsid w:val="006413C3"/>
    <w:rsid w:val="00641A52"/>
    <w:rsid w:val="00641B56"/>
    <w:rsid w:val="00641C8E"/>
    <w:rsid w:val="00642C66"/>
    <w:rsid w:val="00642CDA"/>
    <w:rsid w:val="00642D3E"/>
    <w:rsid w:val="0064371B"/>
    <w:rsid w:val="0064423F"/>
    <w:rsid w:val="006449CB"/>
    <w:rsid w:val="00645ABE"/>
    <w:rsid w:val="00646325"/>
    <w:rsid w:val="00646ED8"/>
    <w:rsid w:val="0064706D"/>
    <w:rsid w:val="006472BE"/>
    <w:rsid w:val="006474DC"/>
    <w:rsid w:val="00652829"/>
    <w:rsid w:val="00652878"/>
    <w:rsid w:val="00652E78"/>
    <w:rsid w:val="006537AF"/>
    <w:rsid w:val="00653DF3"/>
    <w:rsid w:val="0065471B"/>
    <w:rsid w:val="00655928"/>
    <w:rsid w:val="00657602"/>
    <w:rsid w:val="006579D3"/>
    <w:rsid w:val="00657B3C"/>
    <w:rsid w:val="00657CDA"/>
    <w:rsid w:val="00660B7C"/>
    <w:rsid w:val="006620D0"/>
    <w:rsid w:val="00662341"/>
    <w:rsid w:val="006635BC"/>
    <w:rsid w:val="00664C05"/>
    <w:rsid w:val="00664C7B"/>
    <w:rsid w:val="00665019"/>
    <w:rsid w:val="00665C0E"/>
    <w:rsid w:val="00665E16"/>
    <w:rsid w:val="006660D4"/>
    <w:rsid w:val="00666327"/>
    <w:rsid w:val="006665B0"/>
    <w:rsid w:val="00666B58"/>
    <w:rsid w:val="00666B72"/>
    <w:rsid w:val="00666C3B"/>
    <w:rsid w:val="0066762D"/>
    <w:rsid w:val="0066784F"/>
    <w:rsid w:val="00667BA1"/>
    <w:rsid w:val="00670A0A"/>
    <w:rsid w:val="00671564"/>
    <w:rsid w:val="00671781"/>
    <w:rsid w:val="00672147"/>
    <w:rsid w:val="006723B0"/>
    <w:rsid w:val="00672FDD"/>
    <w:rsid w:val="006733E6"/>
    <w:rsid w:val="00674160"/>
    <w:rsid w:val="006750C1"/>
    <w:rsid w:val="0067514A"/>
    <w:rsid w:val="0067543A"/>
    <w:rsid w:val="006754F4"/>
    <w:rsid w:val="00675869"/>
    <w:rsid w:val="006759C1"/>
    <w:rsid w:val="00675DB1"/>
    <w:rsid w:val="00675EAB"/>
    <w:rsid w:val="00675EE7"/>
    <w:rsid w:val="006761E2"/>
    <w:rsid w:val="006774E8"/>
    <w:rsid w:val="0067778C"/>
    <w:rsid w:val="00677AC0"/>
    <w:rsid w:val="00677C1F"/>
    <w:rsid w:val="00680205"/>
    <w:rsid w:val="006803BD"/>
    <w:rsid w:val="00681158"/>
    <w:rsid w:val="00681B86"/>
    <w:rsid w:val="00681BAA"/>
    <w:rsid w:val="00681DDD"/>
    <w:rsid w:val="006823AD"/>
    <w:rsid w:val="00683281"/>
    <w:rsid w:val="00683784"/>
    <w:rsid w:val="00683797"/>
    <w:rsid w:val="00683DF5"/>
    <w:rsid w:val="00683E57"/>
    <w:rsid w:val="00683F7C"/>
    <w:rsid w:val="006843C1"/>
    <w:rsid w:val="00684C94"/>
    <w:rsid w:val="00684E7A"/>
    <w:rsid w:val="00685734"/>
    <w:rsid w:val="00685CAE"/>
    <w:rsid w:val="00685CCC"/>
    <w:rsid w:val="00687076"/>
    <w:rsid w:val="006874E5"/>
    <w:rsid w:val="006901A2"/>
    <w:rsid w:val="0069036C"/>
    <w:rsid w:val="0069073A"/>
    <w:rsid w:val="006909EF"/>
    <w:rsid w:val="0069155B"/>
    <w:rsid w:val="00691660"/>
    <w:rsid w:val="00691819"/>
    <w:rsid w:val="00691A16"/>
    <w:rsid w:val="00691A82"/>
    <w:rsid w:val="00692360"/>
    <w:rsid w:val="0069264B"/>
    <w:rsid w:val="00692F0F"/>
    <w:rsid w:val="00693189"/>
    <w:rsid w:val="006932F3"/>
    <w:rsid w:val="0069389A"/>
    <w:rsid w:val="00695000"/>
    <w:rsid w:val="00695B35"/>
    <w:rsid w:val="0069619E"/>
    <w:rsid w:val="00696C8E"/>
    <w:rsid w:val="00696CD0"/>
    <w:rsid w:val="0069719C"/>
    <w:rsid w:val="00697532"/>
    <w:rsid w:val="00697F35"/>
    <w:rsid w:val="00697F63"/>
    <w:rsid w:val="006A05FC"/>
    <w:rsid w:val="006A0821"/>
    <w:rsid w:val="006A1251"/>
    <w:rsid w:val="006A29F5"/>
    <w:rsid w:val="006A2CE7"/>
    <w:rsid w:val="006A2F1B"/>
    <w:rsid w:val="006A32E6"/>
    <w:rsid w:val="006A51E2"/>
    <w:rsid w:val="006A5AB5"/>
    <w:rsid w:val="006A5DFE"/>
    <w:rsid w:val="006A618B"/>
    <w:rsid w:val="006A7F18"/>
    <w:rsid w:val="006B0345"/>
    <w:rsid w:val="006B044F"/>
    <w:rsid w:val="006B20AC"/>
    <w:rsid w:val="006B31ED"/>
    <w:rsid w:val="006B4A87"/>
    <w:rsid w:val="006B4E0F"/>
    <w:rsid w:val="006B5E56"/>
    <w:rsid w:val="006B5ED5"/>
    <w:rsid w:val="006B66CF"/>
    <w:rsid w:val="006B7355"/>
    <w:rsid w:val="006C0681"/>
    <w:rsid w:val="006C09CC"/>
    <w:rsid w:val="006C2968"/>
    <w:rsid w:val="006C29CF"/>
    <w:rsid w:val="006C386E"/>
    <w:rsid w:val="006C3F28"/>
    <w:rsid w:val="006C448D"/>
    <w:rsid w:val="006C46AF"/>
    <w:rsid w:val="006C490C"/>
    <w:rsid w:val="006C5A8E"/>
    <w:rsid w:val="006C5B25"/>
    <w:rsid w:val="006C5CA6"/>
    <w:rsid w:val="006C6144"/>
    <w:rsid w:val="006C6821"/>
    <w:rsid w:val="006C774B"/>
    <w:rsid w:val="006C7BD7"/>
    <w:rsid w:val="006C7DAD"/>
    <w:rsid w:val="006D01EC"/>
    <w:rsid w:val="006D058E"/>
    <w:rsid w:val="006D1A4B"/>
    <w:rsid w:val="006D1E20"/>
    <w:rsid w:val="006D238B"/>
    <w:rsid w:val="006D3013"/>
    <w:rsid w:val="006D3D17"/>
    <w:rsid w:val="006D4392"/>
    <w:rsid w:val="006D4904"/>
    <w:rsid w:val="006D5841"/>
    <w:rsid w:val="006D636C"/>
    <w:rsid w:val="006D66C2"/>
    <w:rsid w:val="006D6997"/>
    <w:rsid w:val="006D6D22"/>
    <w:rsid w:val="006D6D65"/>
    <w:rsid w:val="006D6F2B"/>
    <w:rsid w:val="006D71EC"/>
    <w:rsid w:val="006D7248"/>
    <w:rsid w:val="006D7BCC"/>
    <w:rsid w:val="006E00BF"/>
    <w:rsid w:val="006E01F5"/>
    <w:rsid w:val="006E0297"/>
    <w:rsid w:val="006E0881"/>
    <w:rsid w:val="006E0E9D"/>
    <w:rsid w:val="006E1AC1"/>
    <w:rsid w:val="006E1BAC"/>
    <w:rsid w:val="006E1EBF"/>
    <w:rsid w:val="006E1F9F"/>
    <w:rsid w:val="006E2567"/>
    <w:rsid w:val="006E310A"/>
    <w:rsid w:val="006E3A4E"/>
    <w:rsid w:val="006E3BD5"/>
    <w:rsid w:val="006E3DB5"/>
    <w:rsid w:val="006E43B8"/>
    <w:rsid w:val="006E440A"/>
    <w:rsid w:val="006E4CB8"/>
    <w:rsid w:val="006E574D"/>
    <w:rsid w:val="006E5B9B"/>
    <w:rsid w:val="006E5BC6"/>
    <w:rsid w:val="006E6449"/>
    <w:rsid w:val="006E6528"/>
    <w:rsid w:val="006E6CC8"/>
    <w:rsid w:val="006E781D"/>
    <w:rsid w:val="006E7974"/>
    <w:rsid w:val="006E7F7D"/>
    <w:rsid w:val="006F0CCD"/>
    <w:rsid w:val="006F0FE0"/>
    <w:rsid w:val="006F1E23"/>
    <w:rsid w:val="006F2D52"/>
    <w:rsid w:val="006F3225"/>
    <w:rsid w:val="006F4550"/>
    <w:rsid w:val="006F5322"/>
    <w:rsid w:val="006F586F"/>
    <w:rsid w:val="006F604C"/>
    <w:rsid w:val="006F66BA"/>
    <w:rsid w:val="006F6A77"/>
    <w:rsid w:val="006F6D66"/>
    <w:rsid w:val="006F6E31"/>
    <w:rsid w:val="006F6F9F"/>
    <w:rsid w:val="006F710B"/>
    <w:rsid w:val="006F77DE"/>
    <w:rsid w:val="006F77F7"/>
    <w:rsid w:val="00700947"/>
    <w:rsid w:val="00700D21"/>
    <w:rsid w:val="00701276"/>
    <w:rsid w:val="00702C49"/>
    <w:rsid w:val="007037F0"/>
    <w:rsid w:val="00703B5A"/>
    <w:rsid w:val="0070426B"/>
    <w:rsid w:val="00704AC7"/>
    <w:rsid w:val="0070511E"/>
    <w:rsid w:val="00705470"/>
    <w:rsid w:val="0070741B"/>
    <w:rsid w:val="007100AA"/>
    <w:rsid w:val="00710928"/>
    <w:rsid w:val="00710ABC"/>
    <w:rsid w:val="00710DDA"/>
    <w:rsid w:val="0071126B"/>
    <w:rsid w:val="007116A9"/>
    <w:rsid w:val="00711DA0"/>
    <w:rsid w:val="00713B22"/>
    <w:rsid w:val="007148F5"/>
    <w:rsid w:val="00715691"/>
    <w:rsid w:val="0071599B"/>
    <w:rsid w:val="00716059"/>
    <w:rsid w:val="0071619D"/>
    <w:rsid w:val="007167F4"/>
    <w:rsid w:val="00716A21"/>
    <w:rsid w:val="00716D89"/>
    <w:rsid w:val="0071746F"/>
    <w:rsid w:val="007206F9"/>
    <w:rsid w:val="00720E65"/>
    <w:rsid w:val="007210F4"/>
    <w:rsid w:val="00721720"/>
    <w:rsid w:val="00721BC6"/>
    <w:rsid w:val="007225B9"/>
    <w:rsid w:val="007226FA"/>
    <w:rsid w:val="00722834"/>
    <w:rsid w:val="00722C5B"/>
    <w:rsid w:val="0072326D"/>
    <w:rsid w:val="007236E0"/>
    <w:rsid w:val="00724358"/>
    <w:rsid w:val="00724585"/>
    <w:rsid w:val="007246D1"/>
    <w:rsid w:val="00724731"/>
    <w:rsid w:val="00724CB0"/>
    <w:rsid w:val="0072603B"/>
    <w:rsid w:val="00726479"/>
    <w:rsid w:val="007266AF"/>
    <w:rsid w:val="00730C5B"/>
    <w:rsid w:val="007321F2"/>
    <w:rsid w:val="00732434"/>
    <w:rsid w:val="007327C2"/>
    <w:rsid w:val="007329F5"/>
    <w:rsid w:val="00732AE5"/>
    <w:rsid w:val="007336A9"/>
    <w:rsid w:val="00733CC2"/>
    <w:rsid w:val="00734B5E"/>
    <w:rsid w:val="007351BF"/>
    <w:rsid w:val="00735DB1"/>
    <w:rsid w:val="00736631"/>
    <w:rsid w:val="00736660"/>
    <w:rsid w:val="0073786D"/>
    <w:rsid w:val="007400A7"/>
    <w:rsid w:val="00740102"/>
    <w:rsid w:val="00740259"/>
    <w:rsid w:val="00740A88"/>
    <w:rsid w:val="00741EC6"/>
    <w:rsid w:val="007429A5"/>
    <w:rsid w:val="00742CF9"/>
    <w:rsid w:val="00743349"/>
    <w:rsid w:val="00743431"/>
    <w:rsid w:val="007439BD"/>
    <w:rsid w:val="007440D0"/>
    <w:rsid w:val="00744615"/>
    <w:rsid w:val="00744F36"/>
    <w:rsid w:val="007450D6"/>
    <w:rsid w:val="00745584"/>
    <w:rsid w:val="007455FF"/>
    <w:rsid w:val="007456E3"/>
    <w:rsid w:val="00746969"/>
    <w:rsid w:val="00747156"/>
    <w:rsid w:val="00747601"/>
    <w:rsid w:val="007476D1"/>
    <w:rsid w:val="00747721"/>
    <w:rsid w:val="00747E10"/>
    <w:rsid w:val="00747FF8"/>
    <w:rsid w:val="0075043E"/>
    <w:rsid w:val="00751A89"/>
    <w:rsid w:val="007525ED"/>
    <w:rsid w:val="007528ED"/>
    <w:rsid w:val="00753001"/>
    <w:rsid w:val="00753099"/>
    <w:rsid w:val="00753EB8"/>
    <w:rsid w:val="00754743"/>
    <w:rsid w:val="007549CD"/>
    <w:rsid w:val="00754A1C"/>
    <w:rsid w:val="00754AC4"/>
    <w:rsid w:val="007557BA"/>
    <w:rsid w:val="00755F3C"/>
    <w:rsid w:val="00756776"/>
    <w:rsid w:val="007573A2"/>
    <w:rsid w:val="0075750B"/>
    <w:rsid w:val="0076002D"/>
    <w:rsid w:val="00761790"/>
    <w:rsid w:val="007620F9"/>
    <w:rsid w:val="00762583"/>
    <w:rsid w:val="00762B7C"/>
    <w:rsid w:val="007634FB"/>
    <w:rsid w:val="00763C99"/>
    <w:rsid w:val="00763EA3"/>
    <w:rsid w:val="00764BA5"/>
    <w:rsid w:val="00764C1F"/>
    <w:rsid w:val="00766425"/>
    <w:rsid w:val="0076644E"/>
    <w:rsid w:val="00766B8B"/>
    <w:rsid w:val="00766DE5"/>
    <w:rsid w:val="00770E63"/>
    <w:rsid w:val="00771029"/>
    <w:rsid w:val="00771101"/>
    <w:rsid w:val="00771490"/>
    <w:rsid w:val="007715B8"/>
    <w:rsid w:val="00771B68"/>
    <w:rsid w:val="00771D36"/>
    <w:rsid w:val="0077231F"/>
    <w:rsid w:val="007725F3"/>
    <w:rsid w:val="0077370C"/>
    <w:rsid w:val="007743DD"/>
    <w:rsid w:val="0077458B"/>
    <w:rsid w:val="00775282"/>
    <w:rsid w:val="0077529F"/>
    <w:rsid w:val="007755B4"/>
    <w:rsid w:val="00777304"/>
    <w:rsid w:val="00777E2D"/>
    <w:rsid w:val="00780A0A"/>
    <w:rsid w:val="00780A43"/>
    <w:rsid w:val="00780ABE"/>
    <w:rsid w:val="00781297"/>
    <w:rsid w:val="00781A74"/>
    <w:rsid w:val="007821A0"/>
    <w:rsid w:val="00782348"/>
    <w:rsid w:val="007831C6"/>
    <w:rsid w:val="007834FC"/>
    <w:rsid w:val="00783C69"/>
    <w:rsid w:val="00783CC7"/>
    <w:rsid w:val="00783FBB"/>
    <w:rsid w:val="00784DFC"/>
    <w:rsid w:val="00784EF0"/>
    <w:rsid w:val="00786458"/>
    <w:rsid w:val="00786B61"/>
    <w:rsid w:val="00787433"/>
    <w:rsid w:val="00787593"/>
    <w:rsid w:val="00787908"/>
    <w:rsid w:val="00787BE6"/>
    <w:rsid w:val="007903B5"/>
    <w:rsid w:val="0079058D"/>
    <w:rsid w:val="00793116"/>
    <w:rsid w:val="00793E77"/>
    <w:rsid w:val="00793F1C"/>
    <w:rsid w:val="00794080"/>
    <w:rsid w:val="00795072"/>
    <w:rsid w:val="007973F8"/>
    <w:rsid w:val="007A3769"/>
    <w:rsid w:val="007A3CE2"/>
    <w:rsid w:val="007A42D8"/>
    <w:rsid w:val="007A4DAA"/>
    <w:rsid w:val="007A55CB"/>
    <w:rsid w:val="007A5BC9"/>
    <w:rsid w:val="007A6604"/>
    <w:rsid w:val="007A6BD6"/>
    <w:rsid w:val="007A7160"/>
    <w:rsid w:val="007A7C2E"/>
    <w:rsid w:val="007A7F17"/>
    <w:rsid w:val="007B0B7B"/>
    <w:rsid w:val="007B138F"/>
    <w:rsid w:val="007B1F34"/>
    <w:rsid w:val="007B2066"/>
    <w:rsid w:val="007B23ED"/>
    <w:rsid w:val="007B25C8"/>
    <w:rsid w:val="007B2EFA"/>
    <w:rsid w:val="007B38DC"/>
    <w:rsid w:val="007B3A61"/>
    <w:rsid w:val="007B48F6"/>
    <w:rsid w:val="007B56A2"/>
    <w:rsid w:val="007B5CB7"/>
    <w:rsid w:val="007B5D18"/>
    <w:rsid w:val="007B5DD9"/>
    <w:rsid w:val="007B624E"/>
    <w:rsid w:val="007B69C8"/>
    <w:rsid w:val="007B6DE8"/>
    <w:rsid w:val="007B6DFB"/>
    <w:rsid w:val="007C0617"/>
    <w:rsid w:val="007C0739"/>
    <w:rsid w:val="007C08EF"/>
    <w:rsid w:val="007C0E87"/>
    <w:rsid w:val="007C0FD9"/>
    <w:rsid w:val="007C12C5"/>
    <w:rsid w:val="007C1397"/>
    <w:rsid w:val="007C14E3"/>
    <w:rsid w:val="007C18D6"/>
    <w:rsid w:val="007C1F17"/>
    <w:rsid w:val="007C1FD0"/>
    <w:rsid w:val="007C227F"/>
    <w:rsid w:val="007C268C"/>
    <w:rsid w:val="007C2B2A"/>
    <w:rsid w:val="007C3C01"/>
    <w:rsid w:val="007C3D7C"/>
    <w:rsid w:val="007C4062"/>
    <w:rsid w:val="007C4737"/>
    <w:rsid w:val="007C4DD6"/>
    <w:rsid w:val="007C501F"/>
    <w:rsid w:val="007C51A2"/>
    <w:rsid w:val="007C5DCE"/>
    <w:rsid w:val="007C624E"/>
    <w:rsid w:val="007C62FD"/>
    <w:rsid w:val="007C70CF"/>
    <w:rsid w:val="007C7FCF"/>
    <w:rsid w:val="007D1FB7"/>
    <w:rsid w:val="007D290D"/>
    <w:rsid w:val="007D2EEE"/>
    <w:rsid w:val="007D379B"/>
    <w:rsid w:val="007D426D"/>
    <w:rsid w:val="007D57AE"/>
    <w:rsid w:val="007D6057"/>
    <w:rsid w:val="007D6B14"/>
    <w:rsid w:val="007D6FC5"/>
    <w:rsid w:val="007E04F0"/>
    <w:rsid w:val="007E0793"/>
    <w:rsid w:val="007E0EC9"/>
    <w:rsid w:val="007E1BAE"/>
    <w:rsid w:val="007E2764"/>
    <w:rsid w:val="007E3AC6"/>
    <w:rsid w:val="007E47C1"/>
    <w:rsid w:val="007E4A51"/>
    <w:rsid w:val="007E65A2"/>
    <w:rsid w:val="007E66E9"/>
    <w:rsid w:val="007E6BE1"/>
    <w:rsid w:val="007E7B5B"/>
    <w:rsid w:val="007F0839"/>
    <w:rsid w:val="007F08B2"/>
    <w:rsid w:val="007F1920"/>
    <w:rsid w:val="007F1A68"/>
    <w:rsid w:val="007F1FC1"/>
    <w:rsid w:val="007F2B0F"/>
    <w:rsid w:val="007F2C5D"/>
    <w:rsid w:val="007F58A6"/>
    <w:rsid w:val="007F5924"/>
    <w:rsid w:val="007F5C08"/>
    <w:rsid w:val="007F5D03"/>
    <w:rsid w:val="007F604D"/>
    <w:rsid w:val="007F607C"/>
    <w:rsid w:val="007F6223"/>
    <w:rsid w:val="007F6AE5"/>
    <w:rsid w:val="007F751E"/>
    <w:rsid w:val="007F75C3"/>
    <w:rsid w:val="007F7837"/>
    <w:rsid w:val="007F78C2"/>
    <w:rsid w:val="008006CD"/>
    <w:rsid w:val="0080168B"/>
    <w:rsid w:val="00801741"/>
    <w:rsid w:val="008024AE"/>
    <w:rsid w:val="00802B12"/>
    <w:rsid w:val="00802C22"/>
    <w:rsid w:val="00804377"/>
    <w:rsid w:val="008047F6"/>
    <w:rsid w:val="00804A32"/>
    <w:rsid w:val="00806B62"/>
    <w:rsid w:val="008075A1"/>
    <w:rsid w:val="008076C2"/>
    <w:rsid w:val="008078B4"/>
    <w:rsid w:val="00810858"/>
    <w:rsid w:val="008109C8"/>
    <w:rsid w:val="00811AC5"/>
    <w:rsid w:val="00811BEF"/>
    <w:rsid w:val="008122C0"/>
    <w:rsid w:val="0081284A"/>
    <w:rsid w:val="0081285F"/>
    <w:rsid w:val="0081299B"/>
    <w:rsid w:val="00812CBA"/>
    <w:rsid w:val="008133D8"/>
    <w:rsid w:val="00813997"/>
    <w:rsid w:val="008151D3"/>
    <w:rsid w:val="008156AE"/>
    <w:rsid w:val="00816591"/>
    <w:rsid w:val="00820C0A"/>
    <w:rsid w:val="00820FEB"/>
    <w:rsid w:val="008212E2"/>
    <w:rsid w:val="008215A5"/>
    <w:rsid w:val="00821C5D"/>
    <w:rsid w:val="00822D3B"/>
    <w:rsid w:val="008233FF"/>
    <w:rsid w:val="0082393E"/>
    <w:rsid w:val="00824509"/>
    <w:rsid w:val="008246F3"/>
    <w:rsid w:val="00824B96"/>
    <w:rsid w:val="00825134"/>
    <w:rsid w:val="00825203"/>
    <w:rsid w:val="00825E5E"/>
    <w:rsid w:val="00826474"/>
    <w:rsid w:val="008267BD"/>
    <w:rsid w:val="00826B6F"/>
    <w:rsid w:val="00826F44"/>
    <w:rsid w:val="008277A2"/>
    <w:rsid w:val="00830B22"/>
    <w:rsid w:val="0083189F"/>
    <w:rsid w:val="00832A6C"/>
    <w:rsid w:val="00833258"/>
    <w:rsid w:val="0083356C"/>
    <w:rsid w:val="00835184"/>
    <w:rsid w:val="008355D6"/>
    <w:rsid w:val="00835BB7"/>
    <w:rsid w:val="008363BC"/>
    <w:rsid w:val="00836F0B"/>
    <w:rsid w:val="00837795"/>
    <w:rsid w:val="008378DD"/>
    <w:rsid w:val="008401AD"/>
    <w:rsid w:val="0084056E"/>
    <w:rsid w:val="0084092E"/>
    <w:rsid w:val="0084115B"/>
    <w:rsid w:val="00841B50"/>
    <w:rsid w:val="00841C31"/>
    <w:rsid w:val="0084204A"/>
    <w:rsid w:val="0084266F"/>
    <w:rsid w:val="00842820"/>
    <w:rsid w:val="00842891"/>
    <w:rsid w:val="00842B73"/>
    <w:rsid w:val="00843320"/>
    <w:rsid w:val="0084564F"/>
    <w:rsid w:val="0084647A"/>
    <w:rsid w:val="00846924"/>
    <w:rsid w:val="00846AA9"/>
    <w:rsid w:val="008476E8"/>
    <w:rsid w:val="00847F79"/>
    <w:rsid w:val="00850390"/>
    <w:rsid w:val="008511A2"/>
    <w:rsid w:val="008532DF"/>
    <w:rsid w:val="00853770"/>
    <w:rsid w:val="00854205"/>
    <w:rsid w:val="0085568A"/>
    <w:rsid w:val="00856E0E"/>
    <w:rsid w:val="00857C62"/>
    <w:rsid w:val="00857C92"/>
    <w:rsid w:val="00857D43"/>
    <w:rsid w:val="00857FC6"/>
    <w:rsid w:val="0086095C"/>
    <w:rsid w:val="00860BD7"/>
    <w:rsid w:val="00861308"/>
    <w:rsid w:val="00861319"/>
    <w:rsid w:val="00861385"/>
    <w:rsid w:val="00861386"/>
    <w:rsid w:val="00861458"/>
    <w:rsid w:val="00861C0D"/>
    <w:rsid w:val="00863014"/>
    <w:rsid w:val="00864102"/>
    <w:rsid w:val="008645A9"/>
    <w:rsid w:val="008646A3"/>
    <w:rsid w:val="00865623"/>
    <w:rsid w:val="00865776"/>
    <w:rsid w:val="008657A9"/>
    <w:rsid w:val="00865AA9"/>
    <w:rsid w:val="00865E03"/>
    <w:rsid w:val="008664F1"/>
    <w:rsid w:val="00866FDA"/>
    <w:rsid w:val="008672C9"/>
    <w:rsid w:val="00870A81"/>
    <w:rsid w:val="00871202"/>
    <w:rsid w:val="00871243"/>
    <w:rsid w:val="0087264A"/>
    <w:rsid w:val="008727DB"/>
    <w:rsid w:val="008753C3"/>
    <w:rsid w:val="00875782"/>
    <w:rsid w:val="0087593A"/>
    <w:rsid w:val="00875978"/>
    <w:rsid w:val="008774FC"/>
    <w:rsid w:val="008778EA"/>
    <w:rsid w:val="00877C7F"/>
    <w:rsid w:val="008811C0"/>
    <w:rsid w:val="008812E2"/>
    <w:rsid w:val="0088168E"/>
    <w:rsid w:val="008821FB"/>
    <w:rsid w:val="00882343"/>
    <w:rsid w:val="00882EF7"/>
    <w:rsid w:val="00883207"/>
    <w:rsid w:val="00884C3E"/>
    <w:rsid w:val="008850E6"/>
    <w:rsid w:val="00885F1B"/>
    <w:rsid w:val="008863CA"/>
    <w:rsid w:val="00886847"/>
    <w:rsid w:val="00887708"/>
    <w:rsid w:val="008904F8"/>
    <w:rsid w:val="008906D2"/>
    <w:rsid w:val="008908A6"/>
    <w:rsid w:val="00890E8B"/>
    <w:rsid w:val="00891CA2"/>
    <w:rsid w:val="00893335"/>
    <w:rsid w:val="00893B9B"/>
    <w:rsid w:val="00893F1D"/>
    <w:rsid w:val="008940C7"/>
    <w:rsid w:val="008948D5"/>
    <w:rsid w:val="00894D83"/>
    <w:rsid w:val="00895522"/>
    <w:rsid w:val="00896B12"/>
    <w:rsid w:val="00896BB3"/>
    <w:rsid w:val="00896C0D"/>
    <w:rsid w:val="00896E8E"/>
    <w:rsid w:val="008A0658"/>
    <w:rsid w:val="008A253D"/>
    <w:rsid w:val="008A29C8"/>
    <w:rsid w:val="008A2B1A"/>
    <w:rsid w:val="008A2B54"/>
    <w:rsid w:val="008A338B"/>
    <w:rsid w:val="008A3716"/>
    <w:rsid w:val="008A406E"/>
    <w:rsid w:val="008A421F"/>
    <w:rsid w:val="008A4406"/>
    <w:rsid w:val="008A4407"/>
    <w:rsid w:val="008A4B07"/>
    <w:rsid w:val="008A4E53"/>
    <w:rsid w:val="008A5209"/>
    <w:rsid w:val="008A5E86"/>
    <w:rsid w:val="008A6034"/>
    <w:rsid w:val="008A6D6F"/>
    <w:rsid w:val="008A7D90"/>
    <w:rsid w:val="008B0127"/>
    <w:rsid w:val="008B01EE"/>
    <w:rsid w:val="008B0D32"/>
    <w:rsid w:val="008B0E11"/>
    <w:rsid w:val="008B2AF0"/>
    <w:rsid w:val="008B2E24"/>
    <w:rsid w:val="008B3114"/>
    <w:rsid w:val="008B3FBA"/>
    <w:rsid w:val="008B4B34"/>
    <w:rsid w:val="008B51C5"/>
    <w:rsid w:val="008B5A96"/>
    <w:rsid w:val="008B6802"/>
    <w:rsid w:val="008B6B0F"/>
    <w:rsid w:val="008B6B55"/>
    <w:rsid w:val="008B7CC3"/>
    <w:rsid w:val="008C06D7"/>
    <w:rsid w:val="008C126E"/>
    <w:rsid w:val="008C177B"/>
    <w:rsid w:val="008C1F69"/>
    <w:rsid w:val="008C297E"/>
    <w:rsid w:val="008C3114"/>
    <w:rsid w:val="008C3691"/>
    <w:rsid w:val="008C3D1F"/>
    <w:rsid w:val="008C4028"/>
    <w:rsid w:val="008C6B7C"/>
    <w:rsid w:val="008C7640"/>
    <w:rsid w:val="008C79ED"/>
    <w:rsid w:val="008C7CFB"/>
    <w:rsid w:val="008D095E"/>
    <w:rsid w:val="008D1065"/>
    <w:rsid w:val="008D112F"/>
    <w:rsid w:val="008D1B40"/>
    <w:rsid w:val="008D2FAD"/>
    <w:rsid w:val="008D3064"/>
    <w:rsid w:val="008D333F"/>
    <w:rsid w:val="008D36D3"/>
    <w:rsid w:val="008D453F"/>
    <w:rsid w:val="008D4D8B"/>
    <w:rsid w:val="008D4FD4"/>
    <w:rsid w:val="008D529C"/>
    <w:rsid w:val="008D564C"/>
    <w:rsid w:val="008D589E"/>
    <w:rsid w:val="008D58AD"/>
    <w:rsid w:val="008D67A5"/>
    <w:rsid w:val="008D70AC"/>
    <w:rsid w:val="008D755C"/>
    <w:rsid w:val="008E0AB1"/>
    <w:rsid w:val="008E28D9"/>
    <w:rsid w:val="008E4FE8"/>
    <w:rsid w:val="008E51BB"/>
    <w:rsid w:val="008E544A"/>
    <w:rsid w:val="008E61ED"/>
    <w:rsid w:val="008E642C"/>
    <w:rsid w:val="008E6A57"/>
    <w:rsid w:val="008E715C"/>
    <w:rsid w:val="008E72B5"/>
    <w:rsid w:val="008E7B6A"/>
    <w:rsid w:val="008E7E36"/>
    <w:rsid w:val="008F0265"/>
    <w:rsid w:val="008F0563"/>
    <w:rsid w:val="008F06F1"/>
    <w:rsid w:val="008F0772"/>
    <w:rsid w:val="008F1B8C"/>
    <w:rsid w:val="008F1C6D"/>
    <w:rsid w:val="008F2837"/>
    <w:rsid w:val="008F303E"/>
    <w:rsid w:val="008F3082"/>
    <w:rsid w:val="008F39FF"/>
    <w:rsid w:val="008F3D6A"/>
    <w:rsid w:val="008F3E7E"/>
    <w:rsid w:val="008F3EE5"/>
    <w:rsid w:val="008F4110"/>
    <w:rsid w:val="008F6818"/>
    <w:rsid w:val="008F68F4"/>
    <w:rsid w:val="008F6926"/>
    <w:rsid w:val="008F696B"/>
    <w:rsid w:val="008F6BE7"/>
    <w:rsid w:val="008F6EBC"/>
    <w:rsid w:val="008F7290"/>
    <w:rsid w:val="008F770C"/>
    <w:rsid w:val="008F7800"/>
    <w:rsid w:val="008F7DFA"/>
    <w:rsid w:val="008F7F0F"/>
    <w:rsid w:val="009002C6"/>
    <w:rsid w:val="009004E5"/>
    <w:rsid w:val="00900A28"/>
    <w:rsid w:val="00901DCF"/>
    <w:rsid w:val="00902368"/>
    <w:rsid w:val="00903BE7"/>
    <w:rsid w:val="00903CA6"/>
    <w:rsid w:val="0090484F"/>
    <w:rsid w:val="0090491B"/>
    <w:rsid w:val="00904B45"/>
    <w:rsid w:val="00904B4F"/>
    <w:rsid w:val="00905D48"/>
    <w:rsid w:val="0090688A"/>
    <w:rsid w:val="00906923"/>
    <w:rsid w:val="00907D69"/>
    <w:rsid w:val="00910D7F"/>
    <w:rsid w:val="00912B05"/>
    <w:rsid w:val="00912B6D"/>
    <w:rsid w:val="00912D61"/>
    <w:rsid w:val="00912E9B"/>
    <w:rsid w:val="009135A7"/>
    <w:rsid w:val="00913B7B"/>
    <w:rsid w:val="00913C2B"/>
    <w:rsid w:val="00913FD7"/>
    <w:rsid w:val="00914565"/>
    <w:rsid w:val="00914FA4"/>
    <w:rsid w:val="00915465"/>
    <w:rsid w:val="009157C7"/>
    <w:rsid w:val="00915D38"/>
    <w:rsid w:val="009164DE"/>
    <w:rsid w:val="00916937"/>
    <w:rsid w:val="00917141"/>
    <w:rsid w:val="00920B1A"/>
    <w:rsid w:val="00920DB1"/>
    <w:rsid w:val="00921449"/>
    <w:rsid w:val="00922617"/>
    <w:rsid w:val="00922B94"/>
    <w:rsid w:val="00922BE9"/>
    <w:rsid w:val="0092313C"/>
    <w:rsid w:val="00923233"/>
    <w:rsid w:val="0092334E"/>
    <w:rsid w:val="0092343B"/>
    <w:rsid w:val="009238E3"/>
    <w:rsid w:val="0092399E"/>
    <w:rsid w:val="009240C4"/>
    <w:rsid w:val="009240EC"/>
    <w:rsid w:val="00924BB7"/>
    <w:rsid w:val="00924CE0"/>
    <w:rsid w:val="00925699"/>
    <w:rsid w:val="00925EA1"/>
    <w:rsid w:val="00925F2F"/>
    <w:rsid w:val="00930680"/>
    <w:rsid w:val="00931C30"/>
    <w:rsid w:val="00933640"/>
    <w:rsid w:val="00933666"/>
    <w:rsid w:val="00933947"/>
    <w:rsid w:val="009361FF"/>
    <w:rsid w:val="00936F32"/>
    <w:rsid w:val="00937ED5"/>
    <w:rsid w:val="00940214"/>
    <w:rsid w:val="009410C9"/>
    <w:rsid w:val="00943199"/>
    <w:rsid w:val="009438DC"/>
    <w:rsid w:val="0094417F"/>
    <w:rsid w:val="00944B43"/>
    <w:rsid w:val="00944E5E"/>
    <w:rsid w:val="00945AC4"/>
    <w:rsid w:val="00946160"/>
    <w:rsid w:val="009461D1"/>
    <w:rsid w:val="00946C54"/>
    <w:rsid w:val="00946E2C"/>
    <w:rsid w:val="00947333"/>
    <w:rsid w:val="00952551"/>
    <w:rsid w:val="00952909"/>
    <w:rsid w:val="00952BE8"/>
    <w:rsid w:val="00952DA7"/>
    <w:rsid w:val="00954233"/>
    <w:rsid w:val="0095478B"/>
    <w:rsid w:val="00955DE4"/>
    <w:rsid w:val="00956401"/>
    <w:rsid w:val="009568EF"/>
    <w:rsid w:val="00956BEB"/>
    <w:rsid w:val="00956C55"/>
    <w:rsid w:val="00957015"/>
    <w:rsid w:val="009571E0"/>
    <w:rsid w:val="00957801"/>
    <w:rsid w:val="00957C75"/>
    <w:rsid w:val="00957E28"/>
    <w:rsid w:val="009605C5"/>
    <w:rsid w:val="00960971"/>
    <w:rsid w:val="00960D71"/>
    <w:rsid w:val="00961276"/>
    <w:rsid w:val="00962A4D"/>
    <w:rsid w:val="00962C49"/>
    <w:rsid w:val="00963121"/>
    <w:rsid w:val="009631B4"/>
    <w:rsid w:val="0096320D"/>
    <w:rsid w:val="009636AC"/>
    <w:rsid w:val="00963D58"/>
    <w:rsid w:val="009647B7"/>
    <w:rsid w:val="00966280"/>
    <w:rsid w:val="00966895"/>
    <w:rsid w:val="00966920"/>
    <w:rsid w:val="00966C01"/>
    <w:rsid w:val="00966D0B"/>
    <w:rsid w:val="00966F78"/>
    <w:rsid w:val="0097079C"/>
    <w:rsid w:val="00970AEC"/>
    <w:rsid w:val="00971F61"/>
    <w:rsid w:val="00972030"/>
    <w:rsid w:val="00972279"/>
    <w:rsid w:val="009735FA"/>
    <w:rsid w:val="00973A19"/>
    <w:rsid w:val="009751DC"/>
    <w:rsid w:val="009751FC"/>
    <w:rsid w:val="0097579E"/>
    <w:rsid w:val="009767CC"/>
    <w:rsid w:val="009771E6"/>
    <w:rsid w:val="00977F54"/>
    <w:rsid w:val="00980111"/>
    <w:rsid w:val="0098022E"/>
    <w:rsid w:val="0098079E"/>
    <w:rsid w:val="00980AF1"/>
    <w:rsid w:val="0098108A"/>
    <w:rsid w:val="009828CF"/>
    <w:rsid w:val="009829E3"/>
    <w:rsid w:val="0098317E"/>
    <w:rsid w:val="00983569"/>
    <w:rsid w:val="00983820"/>
    <w:rsid w:val="0098550F"/>
    <w:rsid w:val="00985667"/>
    <w:rsid w:val="00985DFB"/>
    <w:rsid w:val="009868EC"/>
    <w:rsid w:val="00987046"/>
    <w:rsid w:val="00990587"/>
    <w:rsid w:val="009914E9"/>
    <w:rsid w:val="0099199F"/>
    <w:rsid w:val="00992164"/>
    <w:rsid w:val="009922B3"/>
    <w:rsid w:val="0099244F"/>
    <w:rsid w:val="00992855"/>
    <w:rsid w:val="00993558"/>
    <w:rsid w:val="00993E6B"/>
    <w:rsid w:val="0099449F"/>
    <w:rsid w:val="00994555"/>
    <w:rsid w:val="00994833"/>
    <w:rsid w:val="00994DC5"/>
    <w:rsid w:val="00995141"/>
    <w:rsid w:val="0099530B"/>
    <w:rsid w:val="009959A7"/>
    <w:rsid w:val="00995BB9"/>
    <w:rsid w:val="009964CB"/>
    <w:rsid w:val="0099677C"/>
    <w:rsid w:val="00996E15"/>
    <w:rsid w:val="00996FD6"/>
    <w:rsid w:val="009977CE"/>
    <w:rsid w:val="009A0C34"/>
    <w:rsid w:val="009A2491"/>
    <w:rsid w:val="009A27CC"/>
    <w:rsid w:val="009A2C93"/>
    <w:rsid w:val="009A30C6"/>
    <w:rsid w:val="009A3461"/>
    <w:rsid w:val="009A38FB"/>
    <w:rsid w:val="009A4305"/>
    <w:rsid w:val="009A437B"/>
    <w:rsid w:val="009A486F"/>
    <w:rsid w:val="009A4DC5"/>
    <w:rsid w:val="009A55B4"/>
    <w:rsid w:val="009A6B5B"/>
    <w:rsid w:val="009A7254"/>
    <w:rsid w:val="009B01E1"/>
    <w:rsid w:val="009B07CF"/>
    <w:rsid w:val="009B08E6"/>
    <w:rsid w:val="009B12AA"/>
    <w:rsid w:val="009B1520"/>
    <w:rsid w:val="009B180C"/>
    <w:rsid w:val="009B246D"/>
    <w:rsid w:val="009B2A51"/>
    <w:rsid w:val="009B3974"/>
    <w:rsid w:val="009B4309"/>
    <w:rsid w:val="009B5FBC"/>
    <w:rsid w:val="009B5FDE"/>
    <w:rsid w:val="009B5FFF"/>
    <w:rsid w:val="009B6FA0"/>
    <w:rsid w:val="009B7181"/>
    <w:rsid w:val="009B7284"/>
    <w:rsid w:val="009B7A31"/>
    <w:rsid w:val="009B7F13"/>
    <w:rsid w:val="009C131B"/>
    <w:rsid w:val="009C2C9B"/>
    <w:rsid w:val="009C35DE"/>
    <w:rsid w:val="009C4F91"/>
    <w:rsid w:val="009C56BF"/>
    <w:rsid w:val="009C5FC4"/>
    <w:rsid w:val="009C685B"/>
    <w:rsid w:val="009C7F56"/>
    <w:rsid w:val="009D09CD"/>
    <w:rsid w:val="009D392B"/>
    <w:rsid w:val="009D3AA7"/>
    <w:rsid w:val="009D3C84"/>
    <w:rsid w:val="009D3E57"/>
    <w:rsid w:val="009D4BEA"/>
    <w:rsid w:val="009D5EDE"/>
    <w:rsid w:val="009D6B87"/>
    <w:rsid w:val="009D6CA2"/>
    <w:rsid w:val="009D6CAF"/>
    <w:rsid w:val="009D6D10"/>
    <w:rsid w:val="009D7E7A"/>
    <w:rsid w:val="009E0BEB"/>
    <w:rsid w:val="009E1FF6"/>
    <w:rsid w:val="009E2590"/>
    <w:rsid w:val="009E27C4"/>
    <w:rsid w:val="009E3775"/>
    <w:rsid w:val="009E40C6"/>
    <w:rsid w:val="009E4874"/>
    <w:rsid w:val="009E4C72"/>
    <w:rsid w:val="009E6341"/>
    <w:rsid w:val="009E6750"/>
    <w:rsid w:val="009E6A69"/>
    <w:rsid w:val="009E77CA"/>
    <w:rsid w:val="009E7D40"/>
    <w:rsid w:val="009E7DC4"/>
    <w:rsid w:val="009F05F2"/>
    <w:rsid w:val="009F0954"/>
    <w:rsid w:val="009F09A5"/>
    <w:rsid w:val="009F1DCB"/>
    <w:rsid w:val="009F24CD"/>
    <w:rsid w:val="009F2503"/>
    <w:rsid w:val="009F275C"/>
    <w:rsid w:val="009F2D58"/>
    <w:rsid w:val="009F30C9"/>
    <w:rsid w:val="009F384C"/>
    <w:rsid w:val="009F42AB"/>
    <w:rsid w:val="009F58F6"/>
    <w:rsid w:val="009F61F3"/>
    <w:rsid w:val="009F713E"/>
    <w:rsid w:val="009F76B5"/>
    <w:rsid w:val="00A003BD"/>
    <w:rsid w:val="00A00964"/>
    <w:rsid w:val="00A00F5A"/>
    <w:rsid w:val="00A01B01"/>
    <w:rsid w:val="00A01C97"/>
    <w:rsid w:val="00A01DD9"/>
    <w:rsid w:val="00A0284D"/>
    <w:rsid w:val="00A034F3"/>
    <w:rsid w:val="00A0376E"/>
    <w:rsid w:val="00A05072"/>
    <w:rsid w:val="00A05288"/>
    <w:rsid w:val="00A058EF"/>
    <w:rsid w:val="00A05C6D"/>
    <w:rsid w:val="00A0684B"/>
    <w:rsid w:val="00A07D2F"/>
    <w:rsid w:val="00A10190"/>
    <w:rsid w:val="00A11229"/>
    <w:rsid w:val="00A115F2"/>
    <w:rsid w:val="00A11D7B"/>
    <w:rsid w:val="00A122EF"/>
    <w:rsid w:val="00A12A20"/>
    <w:rsid w:val="00A12CB1"/>
    <w:rsid w:val="00A13E18"/>
    <w:rsid w:val="00A13F55"/>
    <w:rsid w:val="00A144F6"/>
    <w:rsid w:val="00A1480A"/>
    <w:rsid w:val="00A14AEE"/>
    <w:rsid w:val="00A14B53"/>
    <w:rsid w:val="00A16052"/>
    <w:rsid w:val="00A16B6A"/>
    <w:rsid w:val="00A1752C"/>
    <w:rsid w:val="00A177D6"/>
    <w:rsid w:val="00A178B6"/>
    <w:rsid w:val="00A17CC2"/>
    <w:rsid w:val="00A201C9"/>
    <w:rsid w:val="00A20F6C"/>
    <w:rsid w:val="00A21149"/>
    <w:rsid w:val="00A21C64"/>
    <w:rsid w:val="00A22752"/>
    <w:rsid w:val="00A22828"/>
    <w:rsid w:val="00A22CF0"/>
    <w:rsid w:val="00A22FE0"/>
    <w:rsid w:val="00A23417"/>
    <w:rsid w:val="00A2360E"/>
    <w:rsid w:val="00A23C55"/>
    <w:rsid w:val="00A245F0"/>
    <w:rsid w:val="00A24637"/>
    <w:rsid w:val="00A24B43"/>
    <w:rsid w:val="00A25C8C"/>
    <w:rsid w:val="00A2657D"/>
    <w:rsid w:val="00A268B0"/>
    <w:rsid w:val="00A27740"/>
    <w:rsid w:val="00A27CFE"/>
    <w:rsid w:val="00A30158"/>
    <w:rsid w:val="00A30219"/>
    <w:rsid w:val="00A3094B"/>
    <w:rsid w:val="00A31D48"/>
    <w:rsid w:val="00A31ED4"/>
    <w:rsid w:val="00A32E62"/>
    <w:rsid w:val="00A331B6"/>
    <w:rsid w:val="00A3531A"/>
    <w:rsid w:val="00A356B6"/>
    <w:rsid w:val="00A35C5E"/>
    <w:rsid w:val="00A3661A"/>
    <w:rsid w:val="00A366BD"/>
    <w:rsid w:val="00A368E5"/>
    <w:rsid w:val="00A37073"/>
    <w:rsid w:val="00A3730F"/>
    <w:rsid w:val="00A40411"/>
    <w:rsid w:val="00A4054F"/>
    <w:rsid w:val="00A41DA9"/>
    <w:rsid w:val="00A41EEB"/>
    <w:rsid w:val="00A420D7"/>
    <w:rsid w:val="00A42409"/>
    <w:rsid w:val="00A43D68"/>
    <w:rsid w:val="00A44401"/>
    <w:rsid w:val="00A44C01"/>
    <w:rsid w:val="00A45BD3"/>
    <w:rsid w:val="00A4772E"/>
    <w:rsid w:val="00A47EF5"/>
    <w:rsid w:val="00A50FCD"/>
    <w:rsid w:val="00A516B9"/>
    <w:rsid w:val="00A51CE3"/>
    <w:rsid w:val="00A52D49"/>
    <w:rsid w:val="00A537B0"/>
    <w:rsid w:val="00A55700"/>
    <w:rsid w:val="00A557EB"/>
    <w:rsid w:val="00A55BA6"/>
    <w:rsid w:val="00A55C4A"/>
    <w:rsid w:val="00A5673F"/>
    <w:rsid w:val="00A572A3"/>
    <w:rsid w:val="00A60149"/>
    <w:rsid w:val="00A60A81"/>
    <w:rsid w:val="00A61030"/>
    <w:rsid w:val="00A6121B"/>
    <w:rsid w:val="00A6137F"/>
    <w:rsid w:val="00A61BC9"/>
    <w:rsid w:val="00A61E9C"/>
    <w:rsid w:val="00A623C2"/>
    <w:rsid w:val="00A62F40"/>
    <w:rsid w:val="00A63526"/>
    <w:rsid w:val="00A635B4"/>
    <w:rsid w:val="00A65292"/>
    <w:rsid w:val="00A6574B"/>
    <w:rsid w:val="00A657F8"/>
    <w:rsid w:val="00A6583A"/>
    <w:rsid w:val="00A66326"/>
    <w:rsid w:val="00A6726E"/>
    <w:rsid w:val="00A70FA8"/>
    <w:rsid w:val="00A71267"/>
    <w:rsid w:val="00A72175"/>
    <w:rsid w:val="00A7245F"/>
    <w:rsid w:val="00A72B23"/>
    <w:rsid w:val="00A73210"/>
    <w:rsid w:val="00A7335A"/>
    <w:rsid w:val="00A7396C"/>
    <w:rsid w:val="00A73C7D"/>
    <w:rsid w:val="00A74580"/>
    <w:rsid w:val="00A75E80"/>
    <w:rsid w:val="00A75F9A"/>
    <w:rsid w:val="00A76D39"/>
    <w:rsid w:val="00A77092"/>
    <w:rsid w:val="00A77B58"/>
    <w:rsid w:val="00A77C07"/>
    <w:rsid w:val="00A80904"/>
    <w:rsid w:val="00A8122E"/>
    <w:rsid w:val="00A81530"/>
    <w:rsid w:val="00A821E1"/>
    <w:rsid w:val="00A82222"/>
    <w:rsid w:val="00A8243C"/>
    <w:rsid w:val="00A8276F"/>
    <w:rsid w:val="00A833ED"/>
    <w:rsid w:val="00A83D53"/>
    <w:rsid w:val="00A84C46"/>
    <w:rsid w:val="00A86139"/>
    <w:rsid w:val="00A8745A"/>
    <w:rsid w:val="00A875A5"/>
    <w:rsid w:val="00A876BE"/>
    <w:rsid w:val="00A87BB0"/>
    <w:rsid w:val="00A910F5"/>
    <w:rsid w:val="00A91223"/>
    <w:rsid w:val="00A925DC"/>
    <w:rsid w:val="00A92735"/>
    <w:rsid w:val="00A92EFE"/>
    <w:rsid w:val="00A938C3"/>
    <w:rsid w:val="00A94717"/>
    <w:rsid w:val="00A94876"/>
    <w:rsid w:val="00A94C2D"/>
    <w:rsid w:val="00A95542"/>
    <w:rsid w:val="00A95AF9"/>
    <w:rsid w:val="00A95F44"/>
    <w:rsid w:val="00A965A0"/>
    <w:rsid w:val="00A96687"/>
    <w:rsid w:val="00A968C1"/>
    <w:rsid w:val="00A96B03"/>
    <w:rsid w:val="00A96D2C"/>
    <w:rsid w:val="00A97162"/>
    <w:rsid w:val="00A97F97"/>
    <w:rsid w:val="00AA0DA2"/>
    <w:rsid w:val="00AA26B3"/>
    <w:rsid w:val="00AA408B"/>
    <w:rsid w:val="00AA4823"/>
    <w:rsid w:val="00AA5060"/>
    <w:rsid w:val="00AA5149"/>
    <w:rsid w:val="00AA5592"/>
    <w:rsid w:val="00AA5B1D"/>
    <w:rsid w:val="00AA6F54"/>
    <w:rsid w:val="00AA703C"/>
    <w:rsid w:val="00AA708A"/>
    <w:rsid w:val="00AA7C46"/>
    <w:rsid w:val="00AA7F7D"/>
    <w:rsid w:val="00AB0545"/>
    <w:rsid w:val="00AB10F9"/>
    <w:rsid w:val="00AB1F2F"/>
    <w:rsid w:val="00AB21D7"/>
    <w:rsid w:val="00AB2B2C"/>
    <w:rsid w:val="00AB3CF4"/>
    <w:rsid w:val="00AB423C"/>
    <w:rsid w:val="00AB43F5"/>
    <w:rsid w:val="00AB5282"/>
    <w:rsid w:val="00AB5502"/>
    <w:rsid w:val="00AB5C35"/>
    <w:rsid w:val="00AB6241"/>
    <w:rsid w:val="00AB6407"/>
    <w:rsid w:val="00AB671D"/>
    <w:rsid w:val="00AB69E1"/>
    <w:rsid w:val="00AB7807"/>
    <w:rsid w:val="00AB7EDE"/>
    <w:rsid w:val="00AC0176"/>
    <w:rsid w:val="00AC033B"/>
    <w:rsid w:val="00AC1DB0"/>
    <w:rsid w:val="00AC238D"/>
    <w:rsid w:val="00AC282A"/>
    <w:rsid w:val="00AC3262"/>
    <w:rsid w:val="00AC4548"/>
    <w:rsid w:val="00AC4862"/>
    <w:rsid w:val="00AC4AE3"/>
    <w:rsid w:val="00AC4B80"/>
    <w:rsid w:val="00AC4FC1"/>
    <w:rsid w:val="00AC533B"/>
    <w:rsid w:val="00AC5BC3"/>
    <w:rsid w:val="00AC5C09"/>
    <w:rsid w:val="00AC718A"/>
    <w:rsid w:val="00AC7FB4"/>
    <w:rsid w:val="00AD024C"/>
    <w:rsid w:val="00AD0C78"/>
    <w:rsid w:val="00AD1223"/>
    <w:rsid w:val="00AD15F1"/>
    <w:rsid w:val="00AD1CE0"/>
    <w:rsid w:val="00AD23FE"/>
    <w:rsid w:val="00AD35CC"/>
    <w:rsid w:val="00AD3ABB"/>
    <w:rsid w:val="00AD3DE2"/>
    <w:rsid w:val="00AD4647"/>
    <w:rsid w:val="00AD513C"/>
    <w:rsid w:val="00AD5F01"/>
    <w:rsid w:val="00AD61B8"/>
    <w:rsid w:val="00AD6414"/>
    <w:rsid w:val="00AD7A5C"/>
    <w:rsid w:val="00AD7DB1"/>
    <w:rsid w:val="00AE0498"/>
    <w:rsid w:val="00AE0FAC"/>
    <w:rsid w:val="00AE2D39"/>
    <w:rsid w:val="00AE35AE"/>
    <w:rsid w:val="00AE3B02"/>
    <w:rsid w:val="00AE3DEB"/>
    <w:rsid w:val="00AE4565"/>
    <w:rsid w:val="00AE481D"/>
    <w:rsid w:val="00AE566B"/>
    <w:rsid w:val="00AE584A"/>
    <w:rsid w:val="00AE5A17"/>
    <w:rsid w:val="00AE5E66"/>
    <w:rsid w:val="00AE5E7C"/>
    <w:rsid w:val="00AE6650"/>
    <w:rsid w:val="00AE68A9"/>
    <w:rsid w:val="00AE6E08"/>
    <w:rsid w:val="00AE7588"/>
    <w:rsid w:val="00AE75D3"/>
    <w:rsid w:val="00AF0F1A"/>
    <w:rsid w:val="00AF119B"/>
    <w:rsid w:val="00AF133E"/>
    <w:rsid w:val="00AF48F1"/>
    <w:rsid w:val="00AF5AA2"/>
    <w:rsid w:val="00AF5BB9"/>
    <w:rsid w:val="00AF5FDE"/>
    <w:rsid w:val="00AF6E2E"/>
    <w:rsid w:val="00AF6F0E"/>
    <w:rsid w:val="00B00248"/>
    <w:rsid w:val="00B0048E"/>
    <w:rsid w:val="00B008E1"/>
    <w:rsid w:val="00B01E01"/>
    <w:rsid w:val="00B021D9"/>
    <w:rsid w:val="00B02231"/>
    <w:rsid w:val="00B025CE"/>
    <w:rsid w:val="00B029DC"/>
    <w:rsid w:val="00B0397C"/>
    <w:rsid w:val="00B03C1B"/>
    <w:rsid w:val="00B04293"/>
    <w:rsid w:val="00B049A3"/>
    <w:rsid w:val="00B04E68"/>
    <w:rsid w:val="00B04FBC"/>
    <w:rsid w:val="00B0541A"/>
    <w:rsid w:val="00B05577"/>
    <w:rsid w:val="00B05613"/>
    <w:rsid w:val="00B05A23"/>
    <w:rsid w:val="00B05DA2"/>
    <w:rsid w:val="00B05F8C"/>
    <w:rsid w:val="00B065B4"/>
    <w:rsid w:val="00B06C78"/>
    <w:rsid w:val="00B06D95"/>
    <w:rsid w:val="00B06DC5"/>
    <w:rsid w:val="00B0759C"/>
    <w:rsid w:val="00B07E5D"/>
    <w:rsid w:val="00B111D7"/>
    <w:rsid w:val="00B1199B"/>
    <w:rsid w:val="00B11B21"/>
    <w:rsid w:val="00B1317A"/>
    <w:rsid w:val="00B13BC7"/>
    <w:rsid w:val="00B13CEC"/>
    <w:rsid w:val="00B13FDF"/>
    <w:rsid w:val="00B145E2"/>
    <w:rsid w:val="00B14928"/>
    <w:rsid w:val="00B14D41"/>
    <w:rsid w:val="00B15868"/>
    <w:rsid w:val="00B158FA"/>
    <w:rsid w:val="00B16429"/>
    <w:rsid w:val="00B16E49"/>
    <w:rsid w:val="00B17324"/>
    <w:rsid w:val="00B20377"/>
    <w:rsid w:val="00B20A0E"/>
    <w:rsid w:val="00B20EDC"/>
    <w:rsid w:val="00B2164B"/>
    <w:rsid w:val="00B254FE"/>
    <w:rsid w:val="00B25BA3"/>
    <w:rsid w:val="00B25F42"/>
    <w:rsid w:val="00B2640C"/>
    <w:rsid w:val="00B26553"/>
    <w:rsid w:val="00B26621"/>
    <w:rsid w:val="00B26C57"/>
    <w:rsid w:val="00B2783C"/>
    <w:rsid w:val="00B27AD1"/>
    <w:rsid w:val="00B27C94"/>
    <w:rsid w:val="00B3053F"/>
    <w:rsid w:val="00B31792"/>
    <w:rsid w:val="00B319DD"/>
    <w:rsid w:val="00B31B7B"/>
    <w:rsid w:val="00B32277"/>
    <w:rsid w:val="00B32511"/>
    <w:rsid w:val="00B32746"/>
    <w:rsid w:val="00B33302"/>
    <w:rsid w:val="00B33839"/>
    <w:rsid w:val="00B342A8"/>
    <w:rsid w:val="00B353D4"/>
    <w:rsid w:val="00B3545A"/>
    <w:rsid w:val="00B3578F"/>
    <w:rsid w:val="00B36CA9"/>
    <w:rsid w:val="00B36FE5"/>
    <w:rsid w:val="00B3766B"/>
    <w:rsid w:val="00B37CB0"/>
    <w:rsid w:val="00B401C8"/>
    <w:rsid w:val="00B402FE"/>
    <w:rsid w:val="00B40738"/>
    <w:rsid w:val="00B4088D"/>
    <w:rsid w:val="00B40DF6"/>
    <w:rsid w:val="00B40E7B"/>
    <w:rsid w:val="00B41097"/>
    <w:rsid w:val="00B41350"/>
    <w:rsid w:val="00B41A63"/>
    <w:rsid w:val="00B42050"/>
    <w:rsid w:val="00B42A09"/>
    <w:rsid w:val="00B43246"/>
    <w:rsid w:val="00B43FFA"/>
    <w:rsid w:val="00B44DDA"/>
    <w:rsid w:val="00B4549A"/>
    <w:rsid w:val="00B461BE"/>
    <w:rsid w:val="00B46440"/>
    <w:rsid w:val="00B5058F"/>
    <w:rsid w:val="00B506F4"/>
    <w:rsid w:val="00B51073"/>
    <w:rsid w:val="00B51D8E"/>
    <w:rsid w:val="00B51DFD"/>
    <w:rsid w:val="00B52991"/>
    <w:rsid w:val="00B53495"/>
    <w:rsid w:val="00B534DE"/>
    <w:rsid w:val="00B53F15"/>
    <w:rsid w:val="00B5447F"/>
    <w:rsid w:val="00B55958"/>
    <w:rsid w:val="00B5595A"/>
    <w:rsid w:val="00B56004"/>
    <w:rsid w:val="00B565C4"/>
    <w:rsid w:val="00B56B6E"/>
    <w:rsid w:val="00B601DE"/>
    <w:rsid w:val="00B60312"/>
    <w:rsid w:val="00B60546"/>
    <w:rsid w:val="00B63C7A"/>
    <w:rsid w:val="00B63CF9"/>
    <w:rsid w:val="00B64901"/>
    <w:rsid w:val="00B649F8"/>
    <w:rsid w:val="00B65057"/>
    <w:rsid w:val="00B65D5C"/>
    <w:rsid w:val="00B66269"/>
    <w:rsid w:val="00B6688C"/>
    <w:rsid w:val="00B67BE2"/>
    <w:rsid w:val="00B7130B"/>
    <w:rsid w:val="00B72890"/>
    <w:rsid w:val="00B733C0"/>
    <w:rsid w:val="00B7375B"/>
    <w:rsid w:val="00B73CA3"/>
    <w:rsid w:val="00B73DE7"/>
    <w:rsid w:val="00B74209"/>
    <w:rsid w:val="00B75E7F"/>
    <w:rsid w:val="00B76954"/>
    <w:rsid w:val="00B76F1F"/>
    <w:rsid w:val="00B80029"/>
    <w:rsid w:val="00B804C3"/>
    <w:rsid w:val="00B8065A"/>
    <w:rsid w:val="00B80FF3"/>
    <w:rsid w:val="00B81667"/>
    <w:rsid w:val="00B81D9F"/>
    <w:rsid w:val="00B82127"/>
    <w:rsid w:val="00B826E7"/>
    <w:rsid w:val="00B84638"/>
    <w:rsid w:val="00B8555B"/>
    <w:rsid w:val="00B85677"/>
    <w:rsid w:val="00B85B8B"/>
    <w:rsid w:val="00B86035"/>
    <w:rsid w:val="00B86A92"/>
    <w:rsid w:val="00B86BFF"/>
    <w:rsid w:val="00B8705F"/>
    <w:rsid w:val="00B90877"/>
    <w:rsid w:val="00B9187C"/>
    <w:rsid w:val="00B91B31"/>
    <w:rsid w:val="00B928B0"/>
    <w:rsid w:val="00B931CF"/>
    <w:rsid w:val="00B94D0E"/>
    <w:rsid w:val="00B95405"/>
    <w:rsid w:val="00B967D9"/>
    <w:rsid w:val="00B96AA6"/>
    <w:rsid w:val="00B97482"/>
    <w:rsid w:val="00BA0B32"/>
    <w:rsid w:val="00BA0EE1"/>
    <w:rsid w:val="00BA1D35"/>
    <w:rsid w:val="00BA1EE1"/>
    <w:rsid w:val="00BA24C4"/>
    <w:rsid w:val="00BA35C0"/>
    <w:rsid w:val="00BA3750"/>
    <w:rsid w:val="00BA48CD"/>
    <w:rsid w:val="00BA4D0D"/>
    <w:rsid w:val="00BA537C"/>
    <w:rsid w:val="00BA53B1"/>
    <w:rsid w:val="00BA5F41"/>
    <w:rsid w:val="00BA639B"/>
    <w:rsid w:val="00BA6D5A"/>
    <w:rsid w:val="00BA7535"/>
    <w:rsid w:val="00BA7B87"/>
    <w:rsid w:val="00BB0360"/>
    <w:rsid w:val="00BB0D3E"/>
    <w:rsid w:val="00BB208C"/>
    <w:rsid w:val="00BB3A9F"/>
    <w:rsid w:val="00BB3FF7"/>
    <w:rsid w:val="00BB47BD"/>
    <w:rsid w:val="00BB5AE5"/>
    <w:rsid w:val="00BB6CBC"/>
    <w:rsid w:val="00BB7559"/>
    <w:rsid w:val="00BB75FD"/>
    <w:rsid w:val="00BB7B2F"/>
    <w:rsid w:val="00BB7F90"/>
    <w:rsid w:val="00BC0618"/>
    <w:rsid w:val="00BC20AC"/>
    <w:rsid w:val="00BC2820"/>
    <w:rsid w:val="00BC2ED7"/>
    <w:rsid w:val="00BC3301"/>
    <w:rsid w:val="00BC4266"/>
    <w:rsid w:val="00BC427E"/>
    <w:rsid w:val="00BC4943"/>
    <w:rsid w:val="00BC513E"/>
    <w:rsid w:val="00BC5419"/>
    <w:rsid w:val="00BC63FE"/>
    <w:rsid w:val="00BC7080"/>
    <w:rsid w:val="00BC7E21"/>
    <w:rsid w:val="00BD01ED"/>
    <w:rsid w:val="00BD084A"/>
    <w:rsid w:val="00BD0CF7"/>
    <w:rsid w:val="00BD105D"/>
    <w:rsid w:val="00BD10EA"/>
    <w:rsid w:val="00BD1873"/>
    <w:rsid w:val="00BD235B"/>
    <w:rsid w:val="00BD2474"/>
    <w:rsid w:val="00BD2DB2"/>
    <w:rsid w:val="00BD2F8A"/>
    <w:rsid w:val="00BD2FCA"/>
    <w:rsid w:val="00BD3928"/>
    <w:rsid w:val="00BD3C72"/>
    <w:rsid w:val="00BD5665"/>
    <w:rsid w:val="00BD6334"/>
    <w:rsid w:val="00BD6AF3"/>
    <w:rsid w:val="00BD763E"/>
    <w:rsid w:val="00BD7938"/>
    <w:rsid w:val="00BD7AA5"/>
    <w:rsid w:val="00BD7D33"/>
    <w:rsid w:val="00BE074B"/>
    <w:rsid w:val="00BE0D63"/>
    <w:rsid w:val="00BE27C7"/>
    <w:rsid w:val="00BE300B"/>
    <w:rsid w:val="00BE385B"/>
    <w:rsid w:val="00BE3CA3"/>
    <w:rsid w:val="00BE409D"/>
    <w:rsid w:val="00BE5172"/>
    <w:rsid w:val="00BE54C6"/>
    <w:rsid w:val="00BE5540"/>
    <w:rsid w:val="00BE565D"/>
    <w:rsid w:val="00BE5D35"/>
    <w:rsid w:val="00BE6928"/>
    <w:rsid w:val="00BE6AE3"/>
    <w:rsid w:val="00BE6BAA"/>
    <w:rsid w:val="00BE6E6F"/>
    <w:rsid w:val="00BE6EB2"/>
    <w:rsid w:val="00BE753C"/>
    <w:rsid w:val="00BF03D5"/>
    <w:rsid w:val="00BF0FCF"/>
    <w:rsid w:val="00BF11B5"/>
    <w:rsid w:val="00BF1747"/>
    <w:rsid w:val="00BF2386"/>
    <w:rsid w:val="00BF342A"/>
    <w:rsid w:val="00BF5E2A"/>
    <w:rsid w:val="00BF67A9"/>
    <w:rsid w:val="00BF6EA6"/>
    <w:rsid w:val="00BF6FC5"/>
    <w:rsid w:val="00BF7A56"/>
    <w:rsid w:val="00C01962"/>
    <w:rsid w:val="00C019F9"/>
    <w:rsid w:val="00C01F53"/>
    <w:rsid w:val="00C022F5"/>
    <w:rsid w:val="00C025BD"/>
    <w:rsid w:val="00C0275D"/>
    <w:rsid w:val="00C02814"/>
    <w:rsid w:val="00C02A8C"/>
    <w:rsid w:val="00C03045"/>
    <w:rsid w:val="00C03853"/>
    <w:rsid w:val="00C0449F"/>
    <w:rsid w:val="00C05E98"/>
    <w:rsid w:val="00C06046"/>
    <w:rsid w:val="00C0693D"/>
    <w:rsid w:val="00C07F76"/>
    <w:rsid w:val="00C10A2C"/>
    <w:rsid w:val="00C11248"/>
    <w:rsid w:val="00C1156A"/>
    <w:rsid w:val="00C1185D"/>
    <w:rsid w:val="00C11C70"/>
    <w:rsid w:val="00C12915"/>
    <w:rsid w:val="00C141A9"/>
    <w:rsid w:val="00C15439"/>
    <w:rsid w:val="00C15E8B"/>
    <w:rsid w:val="00C16A21"/>
    <w:rsid w:val="00C16B46"/>
    <w:rsid w:val="00C16EFD"/>
    <w:rsid w:val="00C1760D"/>
    <w:rsid w:val="00C208C8"/>
    <w:rsid w:val="00C208D9"/>
    <w:rsid w:val="00C20B25"/>
    <w:rsid w:val="00C22F8A"/>
    <w:rsid w:val="00C23538"/>
    <w:rsid w:val="00C237D6"/>
    <w:rsid w:val="00C23C3F"/>
    <w:rsid w:val="00C244B5"/>
    <w:rsid w:val="00C24CB5"/>
    <w:rsid w:val="00C2530A"/>
    <w:rsid w:val="00C25826"/>
    <w:rsid w:val="00C25C71"/>
    <w:rsid w:val="00C26E85"/>
    <w:rsid w:val="00C2711C"/>
    <w:rsid w:val="00C27F5A"/>
    <w:rsid w:val="00C3012B"/>
    <w:rsid w:val="00C31044"/>
    <w:rsid w:val="00C31B7E"/>
    <w:rsid w:val="00C31BC5"/>
    <w:rsid w:val="00C31CAB"/>
    <w:rsid w:val="00C32E1D"/>
    <w:rsid w:val="00C33980"/>
    <w:rsid w:val="00C34330"/>
    <w:rsid w:val="00C34956"/>
    <w:rsid w:val="00C35415"/>
    <w:rsid w:val="00C35588"/>
    <w:rsid w:val="00C359A9"/>
    <w:rsid w:val="00C35CAE"/>
    <w:rsid w:val="00C35E31"/>
    <w:rsid w:val="00C35EA2"/>
    <w:rsid w:val="00C37641"/>
    <w:rsid w:val="00C40BAF"/>
    <w:rsid w:val="00C40DF0"/>
    <w:rsid w:val="00C4121D"/>
    <w:rsid w:val="00C42F43"/>
    <w:rsid w:val="00C42FAE"/>
    <w:rsid w:val="00C4315C"/>
    <w:rsid w:val="00C43C08"/>
    <w:rsid w:val="00C43D9E"/>
    <w:rsid w:val="00C44A2D"/>
    <w:rsid w:val="00C45345"/>
    <w:rsid w:val="00C453F5"/>
    <w:rsid w:val="00C45DE6"/>
    <w:rsid w:val="00C47129"/>
    <w:rsid w:val="00C47C17"/>
    <w:rsid w:val="00C50317"/>
    <w:rsid w:val="00C5099C"/>
    <w:rsid w:val="00C50BD7"/>
    <w:rsid w:val="00C50FE1"/>
    <w:rsid w:val="00C51316"/>
    <w:rsid w:val="00C530F7"/>
    <w:rsid w:val="00C53E10"/>
    <w:rsid w:val="00C53F1F"/>
    <w:rsid w:val="00C55A9D"/>
    <w:rsid w:val="00C562DB"/>
    <w:rsid w:val="00C567F3"/>
    <w:rsid w:val="00C56E22"/>
    <w:rsid w:val="00C570A0"/>
    <w:rsid w:val="00C57569"/>
    <w:rsid w:val="00C5756C"/>
    <w:rsid w:val="00C57EA3"/>
    <w:rsid w:val="00C60064"/>
    <w:rsid w:val="00C61052"/>
    <w:rsid w:val="00C621C5"/>
    <w:rsid w:val="00C6269F"/>
    <w:rsid w:val="00C62D3C"/>
    <w:rsid w:val="00C62E98"/>
    <w:rsid w:val="00C64A23"/>
    <w:rsid w:val="00C64B69"/>
    <w:rsid w:val="00C6511D"/>
    <w:rsid w:val="00C65439"/>
    <w:rsid w:val="00C66231"/>
    <w:rsid w:val="00C670C5"/>
    <w:rsid w:val="00C67346"/>
    <w:rsid w:val="00C7053D"/>
    <w:rsid w:val="00C7066A"/>
    <w:rsid w:val="00C70B6A"/>
    <w:rsid w:val="00C70EBF"/>
    <w:rsid w:val="00C73113"/>
    <w:rsid w:val="00C73DA1"/>
    <w:rsid w:val="00C74B10"/>
    <w:rsid w:val="00C75630"/>
    <w:rsid w:val="00C75CD5"/>
    <w:rsid w:val="00C762D5"/>
    <w:rsid w:val="00C764B0"/>
    <w:rsid w:val="00C76AC5"/>
    <w:rsid w:val="00C77635"/>
    <w:rsid w:val="00C806DD"/>
    <w:rsid w:val="00C80DF3"/>
    <w:rsid w:val="00C80FCA"/>
    <w:rsid w:val="00C8152F"/>
    <w:rsid w:val="00C830B2"/>
    <w:rsid w:val="00C836D7"/>
    <w:rsid w:val="00C83B20"/>
    <w:rsid w:val="00C83D0E"/>
    <w:rsid w:val="00C83DB5"/>
    <w:rsid w:val="00C85E25"/>
    <w:rsid w:val="00C860C2"/>
    <w:rsid w:val="00C871B5"/>
    <w:rsid w:val="00C871DD"/>
    <w:rsid w:val="00C8754D"/>
    <w:rsid w:val="00C87ECD"/>
    <w:rsid w:val="00C9070A"/>
    <w:rsid w:val="00C90B0B"/>
    <w:rsid w:val="00C9148B"/>
    <w:rsid w:val="00C91991"/>
    <w:rsid w:val="00C927FA"/>
    <w:rsid w:val="00C92F32"/>
    <w:rsid w:val="00C945E6"/>
    <w:rsid w:val="00C94A05"/>
    <w:rsid w:val="00C95AAA"/>
    <w:rsid w:val="00C95AFB"/>
    <w:rsid w:val="00C963EC"/>
    <w:rsid w:val="00C96E24"/>
    <w:rsid w:val="00CA056C"/>
    <w:rsid w:val="00CA1864"/>
    <w:rsid w:val="00CA23E9"/>
    <w:rsid w:val="00CA2C50"/>
    <w:rsid w:val="00CA36A6"/>
    <w:rsid w:val="00CA3863"/>
    <w:rsid w:val="00CA38A7"/>
    <w:rsid w:val="00CA4502"/>
    <w:rsid w:val="00CA53C7"/>
    <w:rsid w:val="00CA56C2"/>
    <w:rsid w:val="00CA6637"/>
    <w:rsid w:val="00CA7376"/>
    <w:rsid w:val="00CA73F4"/>
    <w:rsid w:val="00CA74F7"/>
    <w:rsid w:val="00CA7758"/>
    <w:rsid w:val="00CA7F4D"/>
    <w:rsid w:val="00CB04D5"/>
    <w:rsid w:val="00CB06C4"/>
    <w:rsid w:val="00CB0E0B"/>
    <w:rsid w:val="00CB1F02"/>
    <w:rsid w:val="00CB20B3"/>
    <w:rsid w:val="00CB30F0"/>
    <w:rsid w:val="00CB3B1E"/>
    <w:rsid w:val="00CB3BDB"/>
    <w:rsid w:val="00CB48D5"/>
    <w:rsid w:val="00CB4F93"/>
    <w:rsid w:val="00CB60D8"/>
    <w:rsid w:val="00CB61F4"/>
    <w:rsid w:val="00CB63BC"/>
    <w:rsid w:val="00CB63D2"/>
    <w:rsid w:val="00CB6799"/>
    <w:rsid w:val="00CB684B"/>
    <w:rsid w:val="00CB6C17"/>
    <w:rsid w:val="00CB6E6F"/>
    <w:rsid w:val="00CB725B"/>
    <w:rsid w:val="00CB73D9"/>
    <w:rsid w:val="00CB7753"/>
    <w:rsid w:val="00CB77CC"/>
    <w:rsid w:val="00CB7914"/>
    <w:rsid w:val="00CB7A71"/>
    <w:rsid w:val="00CC0A08"/>
    <w:rsid w:val="00CC0F54"/>
    <w:rsid w:val="00CC134B"/>
    <w:rsid w:val="00CC1852"/>
    <w:rsid w:val="00CC1EB5"/>
    <w:rsid w:val="00CC291D"/>
    <w:rsid w:val="00CC29D4"/>
    <w:rsid w:val="00CC2FAA"/>
    <w:rsid w:val="00CC356C"/>
    <w:rsid w:val="00CC35C6"/>
    <w:rsid w:val="00CC378F"/>
    <w:rsid w:val="00CC5011"/>
    <w:rsid w:val="00CC636A"/>
    <w:rsid w:val="00CC6FE5"/>
    <w:rsid w:val="00CC7AE5"/>
    <w:rsid w:val="00CC7C07"/>
    <w:rsid w:val="00CD0267"/>
    <w:rsid w:val="00CD058C"/>
    <w:rsid w:val="00CD1F2F"/>
    <w:rsid w:val="00CD2622"/>
    <w:rsid w:val="00CD328D"/>
    <w:rsid w:val="00CD3631"/>
    <w:rsid w:val="00CD365B"/>
    <w:rsid w:val="00CD3B4C"/>
    <w:rsid w:val="00CD3B8D"/>
    <w:rsid w:val="00CD3D7F"/>
    <w:rsid w:val="00CD451A"/>
    <w:rsid w:val="00CD4B3B"/>
    <w:rsid w:val="00CD566F"/>
    <w:rsid w:val="00CD5D50"/>
    <w:rsid w:val="00CD5FFA"/>
    <w:rsid w:val="00CD67BD"/>
    <w:rsid w:val="00CD6B77"/>
    <w:rsid w:val="00CD7884"/>
    <w:rsid w:val="00CD7BD0"/>
    <w:rsid w:val="00CD7D5D"/>
    <w:rsid w:val="00CD7F04"/>
    <w:rsid w:val="00CE0449"/>
    <w:rsid w:val="00CE0841"/>
    <w:rsid w:val="00CE1945"/>
    <w:rsid w:val="00CE232C"/>
    <w:rsid w:val="00CE2A2C"/>
    <w:rsid w:val="00CE3AE9"/>
    <w:rsid w:val="00CE414C"/>
    <w:rsid w:val="00CE49D9"/>
    <w:rsid w:val="00CE5484"/>
    <w:rsid w:val="00CE5ECD"/>
    <w:rsid w:val="00CE6010"/>
    <w:rsid w:val="00CE608D"/>
    <w:rsid w:val="00CE66FE"/>
    <w:rsid w:val="00CE6730"/>
    <w:rsid w:val="00CE7021"/>
    <w:rsid w:val="00CE7552"/>
    <w:rsid w:val="00CE7C66"/>
    <w:rsid w:val="00CF17AE"/>
    <w:rsid w:val="00CF1F8E"/>
    <w:rsid w:val="00CF33E7"/>
    <w:rsid w:val="00CF3415"/>
    <w:rsid w:val="00CF3952"/>
    <w:rsid w:val="00CF3AF0"/>
    <w:rsid w:val="00CF515E"/>
    <w:rsid w:val="00CF54AE"/>
    <w:rsid w:val="00CF58BF"/>
    <w:rsid w:val="00CF5DEB"/>
    <w:rsid w:val="00CF62F8"/>
    <w:rsid w:val="00CF7FC3"/>
    <w:rsid w:val="00D0016B"/>
    <w:rsid w:val="00D007EC"/>
    <w:rsid w:val="00D00802"/>
    <w:rsid w:val="00D00F7E"/>
    <w:rsid w:val="00D017F7"/>
    <w:rsid w:val="00D01A14"/>
    <w:rsid w:val="00D01B91"/>
    <w:rsid w:val="00D01F05"/>
    <w:rsid w:val="00D023BA"/>
    <w:rsid w:val="00D026E4"/>
    <w:rsid w:val="00D02B2C"/>
    <w:rsid w:val="00D033C0"/>
    <w:rsid w:val="00D038FD"/>
    <w:rsid w:val="00D0403F"/>
    <w:rsid w:val="00D04A5B"/>
    <w:rsid w:val="00D05619"/>
    <w:rsid w:val="00D06587"/>
    <w:rsid w:val="00D0711F"/>
    <w:rsid w:val="00D1118A"/>
    <w:rsid w:val="00D113B4"/>
    <w:rsid w:val="00D11F1D"/>
    <w:rsid w:val="00D1208D"/>
    <w:rsid w:val="00D12E1F"/>
    <w:rsid w:val="00D132BC"/>
    <w:rsid w:val="00D1387B"/>
    <w:rsid w:val="00D13A1F"/>
    <w:rsid w:val="00D14079"/>
    <w:rsid w:val="00D14BAE"/>
    <w:rsid w:val="00D151C3"/>
    <w:rsid w:val="00D15A55"/>
    <w:rsid w:val="00D17481"/>
    <w:rsid w:val="00D20134"/>
    <w:rsid w:val="00D202C9"/>
    <w:rsid w:val="00D206B1"/>
    <w:rsid w:val="00D210E1"/>
    <w:rsid w:val="00D216E8"/>
    <w:rsid w:val="00D21D74"/>
    <w:rsid w:val="00D21FDE"/>
    <w:rsid w:val="00D2281D"/>
    <w:rsid w:val="00D22E7C"/>
    <w:rsid w:val="00D23D88"/>
    <w:rsid w:val="00D242F1"/>
    <w:rsid w:val="00D255AB"/>
    <w:rsid w:val="00D25D66"/>
    <w:rsid w:val="00D273EA"/>
    <w:rsid w:val="00D2759A"/>
    <w:rsid w:val="00D27924"/>
    <w:rsid w:val="00D30042"/>
    <w:rsid w:val="00D30AAC"/>
    <w:rsid w:val="00D30CD4"/>
    <w:rsid w:val="00D31B45"/>
    <w:rsid w:val="00D3264C"/>
    <w:rsid w:val="00D33CB5"/>
    <w:rsid w:val="00D342AA"/>
    <w:rsid w:val="00D3518B"/>
    <w:rsid w:val="00D36BF0"/>
    <w:rsid w:val="00D37B56"/>
    <w:rsid w:val="00D40051"/>
    <w:rsid w:val="00D409E4"/>
    <w:rsid w:val="00D40E02"/>
    <w:rsid w:val="00D40EC0"/>
    <w:rsid w:val="00D42937"/>
    <w:rsid w:val="00D4299E"/>
    <w:rsid w:val="00D42A06"/>
    <w:rsid w:val="00D42A1C"/>
    <w:rsid w:val="00D42E05"/>
    <w:rsid w:val="00D430B9"/>
    <w:rsid w:val="00D433C7"/>
    <w:rsid w:val="00D4340A"/>
    <w:rsid w:val="00D43826"/>
    <w:rsid w:val="00D447A1"/>
    <w:rsid w:val="00D46D49"/>
    <w:rsid w:val="00D47328"/>
    <w:rsid w:val="00D51D96"/>
    <w:rsid w:val="00D5322C"/>
    <w:rsid w:val="00D536CC"/>
    <w:rsid w:val="00D53C9A"/>
    <w:rsid w:val="00D541F6"/>
    <w:rsid w:val="00D54947"/>
    <w:rsid w:val="00D54CEC"/>
    <w:rsid w:val="00D5518E"/>
    <w:rsid w:val="00D55DFA"/>
    <w:rsid w:val="00D56093"/>
    <w:rsid w:val="00D56624"/>
    <w:rsid w:val="00D56835"/>
    <w:rsid w:val="00D568E2"/>
    <w:rsid w:val="00D57CCF"/>
    <w:rsid w:val="00D60216"/>
    <w:rsid w:val="00D60417"/>
    <w:rsid w:val="00D61109"/>
    <w:rsid w:val="00D611C6"/>
    <w:rsid w:val="00D614BC"/>
    <w:rsid w:val="00D61998"/>
    <w:rsid w:val="00D6259E"/>
    <w:rsid w:val="00D62F78"/>
    <w:rsid w:val="00D640A9"/>
    <w:rsid w:val="00D6441F"/>
    <w:rsid w:val="00D64594"/>
    <w:rsid w:val="00D662A4"/>
    <w:rsid w:val="00D66309"/>
    <w:rsid w:val="00D66F7E"/>
    <w:rsid w:val="00D6743F"/>
    <w:rsid w:val="00D675B6"/>
    <w:rsid w:val="00D71C24"/>
    <w:rsid w:val="00D721BF"/>
    <w:rsid w:val="00D72DAF"/>
    <w:rsid w:val="00D73540"/>
    <w:rsid w:val="00D73ACB"/>
    <w:rsid w:val="00D7445A"/>
    <w:rsid w:val="00D746B3"/>
    <w:rsid w:val="00D74C3F"/>
    <w:rsid w:val="00D7561A"/>
    <w:rsid w:val="00D75883"/>
    <w:rsid w:val="00D75F2A"/>
    <w:rsid w:val="00D760FD"/>
    <w:rsid w:val="00D763DE"/>
    <w:rsid w:val="00D76B33"/>
    <w:rsid w:val="00D774DF"/>
    <w:rsid w:val="00D80172"/>
    <w:rsid w:val="00D80A64"/>
    <w:rsid w:val="00D8102F"/>
    <w:rsid w:val="00D8146C"/>
    <w:rsid w:val="00D822AF"/>
    <w:rsid w:val="00D82818"/>
    <w:rsid w:val="00D8434A"/>
    <w:rsid w:val="00D8461D"/>
    <w:rsid w:val="00D84BEA"/>
    <w:rsid w:val="00D86923"/>
    <w:rsid w:val="00D86FB3"/>
    <w:rsid w:val="00D876A0"/>
    <w:rsid w:val="00D87B8E"/>
    <w:rsid w:val="00D903FC"/>
    <w:rsid w:val="00D910DD"/>
    <w:rsid w:val="00D915AB"/>
    <w:rsid w:val="00D91906"/>
    <w:rsid w:val="00D919E9"/>
    <w:rsid w:val="00D91FB1"/>
    <w:rsid w:val="00D91FDB"/>
    <w:rsid w:val="00D92240"/>
    <w:rsid w:val="00D937BD"/>
    <w:rsid w:val="00D94595"/>
    <w:rsid w:val="00D94B06"/>
    <w:rsid w:val="00D94C1B"/>
    <w:rsid w:val="00D94FFA"/>
    <w:rsid w:val="00D9526F"/>
    <w:rsid w:val="00D95798"/>
    <w:rsid w:val="00D95BF5"/>
    <w:rsid w:val="00D96495"/>
    <w:rsid w:val="00D9698F"/>
    <w:rsid w:val="00D96D1F"/>
    <w:rsid w:val="00D96D4F"/>
    <w:rsid w:val="00D972BE"/>
    <w:rsid w:val="00D973BC"/>
    <w:rsid w:val="00D97C0D"/>
    <w:rsid w:val="00DA1637"/>
    <w:rsid w:val="00DA1E20"/>
    <w:rsid w:val="00DA2704"/>
    <w:rsid w:val="00DA292E"/>
    <w:rsid w:val="00DA2BF7"/>
    <w:rsid w:val="00DA2C64"/>
    <w:rsid w:val="00DA3996"/>
    <w:rsid w:val="00DA4209"/>
    <w:rsid w:val="00DA4B84"/>
    <w:rsid w:val="00DA5ED1"/>
    <w:rsid w:val="00DA79BE"/>
    <w:rsid w:val="00DB04E9"/>
    <w:rsid w:val="00DB1C37"/>
    <w:rsid w:val="00DB1EB4"/>
    <w:rsid w:val="00DB221E"/>
    <w:rsid w:val="00DB2887"/>
    <w:rsid w:val="00DB328E"/>
    <w:rsid w:val="00DB3E70"/>
    <w:rsid w:val="00DB4B58"/>
    <w:rsid w:val="00DB508E"/>
    <w:rsid w:val="00DB5113"/>
    <w:rsid w:val="00DB5D09"/>
    <w:rsid w:val="00DB6FEF"/>
    <w:rsid w:val="00DB6FF0"/>
    <w:rsid w:val="00DC058F"/>
    <w:rsid w:val="00DC0C17"/>
    <w:rsid w:val="00DC1646"/>
    <w:rsid w:val="00DC196C"/>
    <w:rsid w:val="00DC1C2C"/>
    <w:rsid w:val="00DC203D"/>
    <w:rsid w:val="00DC222A"/>
    <w:rsid w:val="00DC22DE"/>
    <w:rsid w:val="00DC2434"/>
    <w:rsid w:val="00DC2F46"/>
    <w:rsid w:val="00DC321F"/>
    <w:rsid w:val="00DC3584"/>
    <w:rsid w:val="00DC359D"/>
    <w:rsid w:val="00DC3EDD"/>
    <w:rsid w:val="00DC446C"/>
    <w:rsid w:val="00DC4D02"/>
    <w:rsid w:val="00DC4FB8"/>
    <w:rsid w:val="00DC5261"/>
    <w:rsid w:val="00DC56B4"/>
    <w:rsid w:val="00DC5F48"/>
    <w:rsid w:val="00DC7301"/>
    <w:rsid w:val="00DD02EC"/>
    <w:rsid w:val="00DD0E8F"/>
    <w:rsid w:val="00DD1311"/>
    <w:rsid w:val="00DD17E7"/>
    <w:rsid w:val="00DD195D"/>
    <w:rsid w:val="00DD38CC"/>
    <w:rsid w:val="00DD3D5A"/>
    <w:rsid w:val="00DD4157"/>
    <w:rsid w:val="00DD4568"/>
    <w:rsid w:val="00DD4A9A"/>
    <w:rsid w:val="00DD5125"/>
    <w:rsid w:val="00DD5244"/>
    <w:rsid w:val="00DD64A9"/>
    <w:rsid w:val="00DD6BEE"/>
    <w:rsid w:val="00DD7454"/>
    <w:rsid w:val="00DD7459"/>
    <w:rsid w:val="00DE1096"/>
    <w:rsid w:val="00DE16FE"/>
    <w:rsid w:val="00DE1DFB"/>
    <w:rsid w:val="00DE2C29"/>
    <w:rsid w:val="00DE368E"/>
    <w:rsid w:val="00DE377E"/>
    <w:rsid w:val="00DE4399"/>
    <w:rsid w:val="00DE4646"/>
    <w:rsid w:val="00DE4A96"/>
    <w:rsid w:val="00DE5D2F"/>
    <w:rsid w:val="00DE61A5"/>
    <w:rsid w:val="00DE6E93"/>
    <w:rsid w:val="00DE7983"/>
    <w:rsid w:val="00DF001A"/>
    <w:rsid w:val="00DF03BF"/>
    <w:rsid w:val="00DF31EE"/>
    <w:rsid w:val="00DF3ED9"/>
    <w:rsid w:val="00DF40EE"/>
    <w:rsid w:val="00DF43A2"/>
    <w:rsid w:val="00DF5035"/>
    <w:rsid w:val="00DF5DA1"/>
    <w:rsid w:val="00DF652B"/>
    <w:rsid w:val="00DF6532"/>
    <w:rsid w:val="00DF6F94"/>
    <w:rsid w:val="00DF761A"/>
    <w:rsid w:val="00DF7C37"/>
    <w:rsid w:val="00DF7C75"/>
    <w:rsid w:val="00E01173"/>
    <w:rsid w:val="00E01814"/>
    <w:rsid w:val="00E02D20"/>
    <w:rsid w:val="00E032B4"/>
    <w:rsid w:val="00E03A8D"/>
    <w:rsid w:val="00E04082"/>
    <w:rsid w:val="00E0413A"/>
    <w:rsid w:val="00E04499"/>
    <w:rsid w:val="00E04D67"/>
    <w:rsid w:val="00E05078"/>
    <w:rsid w:val="00E05613"/>
    <w:rsid w:val="00E05D4F"/>
    <w:rsid w:val="00E068B3"/>
    <w:rsid w:val="00E06937"/>
    <w:rsid w:val="00E072F4"/>
    <w:rsid w:val="00E0761F"/>
    <w:rsid w:val="00E07A85"/>
    <w:rsid w:val="00E11200"/>
    <w:rsid w:val="00E112B0"/>
    <w:rsid w:val="00E1193A"/>
    <w:rsid w:val="00E11AEF"/>
    <w:rsid w:val="00E11CE8"/>
    <w:rsid w:val="00E11D66"/>
    <w:rsid w:val="00E12DB4"/>
    <w:rsid w:val="00E131B3"/>
    <w:rsid w:val="00E132C4"/>
    <w:rsid w:val="00E14845"/>
    <w:rsid w:val="00E1484F"/>
    <w:rsid w:val="00E14C2B"/>
    <w:rsid w:val="00E1501F"/>
    <w:rsid w:val="00E15518"/>
    <w:rsid w:val="00E15575"/>
    <w:rsid w:val="00E158C4"/>
    <w:rsid w:val="00E16BB3"/>
    <w:rsid w:val="00E20302"/>
    <w:rsid w:val="00E2039F"/>
    <w:rsid w:val="00E2062B"/>
    <w:rsid w:val="00E208C1"/>
    <w:rsid w:val="00E2106C"/>
    <w:rsid w:val="00E21B57"/>
    <w:rsid w:val="00E22CC3"/>
    <w:rsid w:val="00E2357F"/>
    <w:rsid w:val="00E235B5"/>
    <w:rsid w:val="00E23BD9"/>
    <w:rsid w:val="00E23EC1"/>
    <w:rsid w:val="00E24758"/>
    <w:rsid w:val="00E24D99"/>
    <w:rsid w:val="00E257AC"/>
    <w:rsid w:val="00E26123"/>
    <w:rsid w:val="00E26D2B"/>
    <w:rsid w:val="00E26E8D"/>
    <w:rsid w:val="00E27FC6"/>
    <w:rsid w:val="00E3029D"/>
    <w:rsid w:val="00E30E86"/>
    <w:rsid w:val="00E31103"/>
    <w:rsid w:val="00E31CFC"/>
    <w:rsid w:val="00E31DFF"/>
    <w:rsid w:val="00E320B0"/>
    <w:rsid w:val="00E334AD"/>
    <w:rsid w:val="00E33B59"/>
    <w:rsid w:val="00E33DEE"/>
    <w:rsid w:val="00E34A66"/>
    <w:rsid w:val="00E35B75"/>
    <w:rsid w:val="00E35C48"/>
    <w:rsid w:val="00E35FE1"/>
    <w:rsid w:val="00E36457"/>
    <w:rsid w:val="00E36E33"/>
    <w:rsid w:val="00E375F7"/>
    <w:rsid w:val="00E37E97"/>
    <w:rsid w:val="00E37F12"/>
    <w:rsid w:val="00E43C49"/>
    <w:rsid w:val="00E44144"/>
    <w:rsid w:val="00E45305"/>
    <w:rsid w:val="00E45680"/>
    <w:rsid w:val="00E45743"/>
    <w:rsid w:val="00E45897"/>
    <w:rsid w:val="00E462F3"/>
    <w:rsid w:val="00E473DE"/>
    <w:rsid w:val="00E47FD7"/>
    <w:rsid w:val="00E50AD3"/>
    <w:rsid w:val="00E50F63"/>
    <w:rsid w:val="00E518B7"/>
    <w:rsid w:val="00E51A10"/>
    <w:rsid w:val="00E52369"/>
    <w:rsid w:val="00E53D1B"/>
    <w:rsid w:val="00E54677"/>
    <w:rsid w:val="00E54ED7"/>
    <w:rsid w:val="00E55C58"/>
    <w:rsid w:val="00E55F25"/>
    <w:rsid w:val="00E560DF"/>
    <w:rsid w:val="00E56554"/>
    <w:rsid w:val="00E56836"/>
    <w:rsid w:val="00E56B8C"/>
    <w:rsid w:val="00E56CE2"/>
    <w:rsid w:val="00E5745A"/>
    <w:rsid w:val="00E575DA"/>
    <w:rsid w:val="00E6231F"/>
    <w:rsid w:val="00E626E2"/>
    <w:rsid w:val="00E62AE4"/>
    <w:rsid w:val="00E63945"/>
    <w:rsid w:val="00E63BAA"/>
    <w:rsid w:val="00E6423F"/>
    <w:rsid w:val="00E642C0"/>
    <w:rsid w:val="00E6444F"/>
    <w:rsid w:val="00E645FA"/>
    <w:rsid w:val="00E64867"/>
    <w:rsid w:val="00E66118"/>
    <w:rsid w:val="00E66B21"/>
    <w:rsid w:val="00E66C89"/>
    <w:rsid w:val="00E66E6E"/>
    <w:rsid w:val="00E671E7"/>
    <w:rsid w:val="00E67BE5"/>
    <w:rsid w:val="00E71728"/>
    <w:rsid w:val="00E71808"/>
    <w:rsid w:val="00E71B09"/>
    <w:rsid w:val="00E726DC"/>
    <w:rsid w:val="00E72A82"/>
    <w:rsid w:val="00E736FB"/>
    <w:rsid w:val="00E74198"/>
    <w:rsid w:val="00E7454B"/>
    <w:rsid w:val="00E74B8E"/>
    <w:rsid w:val="00E74C78"/>
    <w:rsid w:val="00E75324"/>
    <w:rsid w:val="00E759F5"/>
    <w:rsid w:val="00E773F7"/>
    <w:rsid w:val="00E77808"/>
    <w:rsid w:val="00E80961"/>
    <w:rsid w:val="00E812F5"/>
    <w:rsid w:val="00E815F3"/>
    <w:rsid w:val="00E81C13"/>
    <w:rsid w:val="00E823A7"/>
    <w:rsid w:val="00E82961"/>
    <w:rsid w:val="00E82AC9"/>
    <w:rsid w:val="00E83688"/>
    <w:rsid w:val="00E83E37"/>
    <w:rsid w:val="00E84324"/>
    <w:rsid w:val="00E84617"/>
    <w:rsid w:val="00E86217"/>
    <w:rsid w:val="00E86585"/>
    <w:rsid w:val="00E86992"/>
    <w:rsid w:val="00E86F09"/>
    <w:rsid w:val="00E8747F"/>
    <w:rsid w:val="00E90957"/>
    <w:rsid w:val="00E91C1C"/>
    <w:rsid w:val="00E927C4"/>
    <w:rsid w:val="00E93089"/>
    <w:rsid w:val="00E9312C"/>
    <w:rsid w:val="00E93D08"/>
    <w:rsid w:val="00E94BFD"/>
    <w:rsid w:val="00E95104"/>
    <w:rsid w:val="00E959F7"/>
    <w:rsid w:val="00E95B5D"/>
    <w:rsid w:val="00E978C2"/>
    <w:rsid w:val="00E97F22"/>
    <w:rsid w:val="00E97FAF"/>
    <w:rsid w:val="00EA0569"/>
    <w:rsid w:val="00EA1008"/>
    <w:rsid w:val="00EA10E0"/>
    <w:rsid w:val="00EA1413"/>
    <w:rsid w:val="00EA1605"/>
    <w:rsid w:val="00EA2290"/>
    <w:rsid w:val="00EA236B"/>
    <w:rsid w:val="00EA23C8"/>
    <w:rsid w:val="00EA2E00"/>
    <w:rsid w:val="00EA2EF2"/>
    <w:rsid w:val="00EA3569"/>
    <w:rsid w:val="00EA45BD"/>
    <w:rsid w:val="00EA510C"/>
    <w:rsid w:val="00EA6116"/>
    <w:rsid w:val="00EA67D7"/>
    <w:rsid w:val="00EA6D4A"/>
    <w:rsid w:val="00EA75E5"/>
    <w:rsid w:val="00EA760E"/>
    <w:rsid w:val="00EA7D16"/>
    <w:rsid w:val="00EB01C9"/>
    <w:rsid w:val="00EB056C"/>
    <w:rsid w:val="00EB0BD6"/>
    <w:rsid w:val="00EB0D64"/>
    <w:rsid w:val="00EB188B"/>
    <w:rsid w:val="00EB217C"/>
    <w:rsid w:val="00EB3D6B"/>
    <w:rsid w:val="00EB4511"/>
    <w:rsid w:val="00EB489C"/>
    <w:rsid w:val="00EB5113"/>
    <w:rsid w:val="00EB54DE"/>
    <w:rsid w:val="00EB5CDD"/>
    <w:rsid w:val="00EB63BA"/>
    <w:rsid w:val="00EB6E7D"/>
    <w:rsid w:val="00EB77F9"/>
    <w:rsid w:val="00EB7B2B"/>
    <w:rsid w:val="00EC013C"/>
    <w:rsid w:val="00EC0BED"/>
    <w:rsid w:val="00EC1113"/>
    <w:rsid w:val="00EC1132"/>
    <w:rsid w:val="00EC1526"/>
    <w:rsid w:val="00EC294C"/>
    <w:rsid w:val="00EC33D3"/>
    <w:rsid w:val="00EC37E3"/>
    <w:rsid w:val="00EC41EC"/>
    <w:rsid w:val="00EC530C"/>
    <w:rsid w:val="00EC55DA"/>
    <w:rsid w:val="00EC6162"/>
    <w:rsid w:val="00EC62D6"/>
    <w:rsid w:val="00EC68F7"/>
    <w:rsid w:val="00EC799F"/>
    <w:rsid w:val="00EC7D63"/>
    <w:rsid w:val="00ED0BE4"/>
    <w:rsid w:val="00ED0C1A"/>
    <w:rsid w:val="00ED0F7F"/>
    <w:rsid w:val="00ED1534"/>
    <w:rsid w:val="00ED1536"/>
    <w:rsid w:val="00ED2D9B"/>
    <w:rsid w:val="00ED2FB7"/>
    <w:rsid w:val="00ED4602"/>
    <w:rsid w:val="00ED47FF"/>
    <w:rsid w:val="00ED4E26"/>
    <w:rsid w:val="00ED511A"/>
    <w:rsid w:val="00ED53F4"/>
    <w:rsid w:val="00ED5F96"/>
    <w:rsid w:val="00ED62CC"/>
    <w:rsid w:val="00ED796C"/>
    <w:rsid w:val="00EE0416"/>
    <w:rsid w:val="00EE09A1"/>
    <w:rsid w:val="00EE1495"/>
    <w:rsid w:val="00EE19A0"/>
    <w:rsid w:val="00EE2CA3"/>
    <w:rsid w:val="00EE2F70"/>
    <w:rsid w:val="00EE3261"/>
    <w:rsid w:val="00EE3F8B"/>
    <w:rsid w:val="00EE451F"/>
    <w:rsid w:val="00EE5DAC"/>
    <w:rsid w:val="00EE602F"/>
    <w:rsid w:val="00EE6DA1"/>
    <w:rsid w:val="00EE6E7D"/>
    <w:rsid w:val="00EF02CF"/>
    <w:rsid w:val="00EF09FF"/>
    <w:rsid w:val="00EF12F1"/>
    <w:rsid w:val="00EF1CAB"/>
    <w:rsid w:val="00EF227F"/>
    <w:rsid w:val="00EF2A16"/>
    <w:rsid w:val="00EF2CAE"/>
    <w:rsid w:val="00EF2D43"/>
    <w:rsid w:val="00EF31D5"/>
    <w:rsid w:val="00EF3505"/>
    <w:rsid w:val="00EF371D"/>
    <w:rsid w:val="00EF392D"/>
    <w:rsid w:val="00EF3C5B"/>
    <w:rsid w:val="00EF4019"/>
    <w:rsid w:val="00EF4E53"/>
    <w:rsid w:val="00EF5C90"/>
    <w:rsid w:val="00EF5FEB"/>
    <w:rsid w:val="00EF69A8"/>
    <w:rsid w:val="00EF7F4C"/>
    <w:rsid w:val="00F00681"/>
    <w:rsid w:val="00F010B6"/>
    <w:rsid w:val="00F02C69"/>
    <w:rsid w:val="00F02CDC"/>
    <w:rsid w:val="00F0570E"/>
    <w:rsid w:val="00F0619B"/>
    <w:rsid w:val="00F064AF"/>
    <w:rsid w:val="00F065BC"/>
    <w:rsid w:val="00F06ADE"/>
    <w:rsid w:val="00F07F41"/>
    <w:rsid w:val="00F10269"/>
    <w:rsid w:val="00F106BE"/>
    <w:rsid w:val="00F10D92"/>
    <w:rsid w:val="00F1149D"/>
    <w:rsid w:val="00F114DB"/>
    <w:rsid w:val="00F11BCA"/>
    <w:rsid w:val="00F11FEC"/>
    <w:rsid w:val="00F124AD"/>
    <w:rsid w:val="00F124C1"/>
    <w:rsid w:val="00F131AE"/>
    <w:rsid w:val="00F13A09"/>
    <w:rsid w:val="00F13E84"/>
    <w:rsid w:val="00F14194"/>
    <w:rsid w:val="00F143FB"/>
    <w:rsid w:val="00F14834"/>
    <w:rsid w:val="00F1520F"/>
    <w:rsid w:val="00F159D7"/>
    <w:rsid w:val="00F1691B"/>
    <w:rsid w:val="00F177CD"/>
    <w:rsid w:val="00F17E52"/>
    <w:rsid w:val="00F208A8"/>
    <w:rsid w:val="00F208DC"/>
    <w:rsid w:val="00F210F4"/>
    <w:rsid w:val="00F21AF1"/>
    <w:rsid w:val="00F21DE0"/>
    <w:rsid w:val="00F22094"/>
    <w:rsid w:val="00F221D9"/>
    <w:rsid w:val="00F222FB"/>
    <w:rsid w:val="00F2344F"/>
    <w:rsid w:val="00F24E48"/>
    <w:rsid w:val="00F25E64"/>
    <w:rsid w:val="00F26D95"/>
    <w:rsid w:val="00F27126"/>
    <w:rsid w:val="00F30290"/>
    <w:rsid w:val="00F30810"/>
    <w:rsid w:val="00F31448"/>
    <w:rsid w:val="00F32436"/>
    <w:rsid w:val="00F326F4"/>
    <w:rsid w:val="00F32727"/>
    <w:rsid w:val="00F329D1"/>
    <w:rsid w:val="00F33324"/>
    <w:rsid w:val="00F3402E"/>
    <w:rsid w:val="00F34211"/>
    <w:rsid w:val="00F3457E"/>
    <w:rsid w:val="00F35243"/>
    <w:rsid w:val="00F355AB"/>
    <w:rsid w:val="00F357F0"/>
    <w:rsid w:val="00F36056"/>
    <w:rsid w:val="00F36A5E"/>
    <w:rsid w:val="00F36DB6"/>
    <w:rsid w:val="00F376C2"/>
    <w:rsid w:val="00F37882"/>
    <w:rsid w:val="00F37D9D"/>
    <w:rsid w:val="00F40ACD"/>
    <w:rsid w:val="00F40CC0"/>
    <w:rsid w:val="00F412E1"/>
    <w:rsid w:val="00F41F45"/>
    <w:rsid w:val="00F42768"/>
    <w:rsid w:val="00F429F1"/>
    <w:rsid w:val="00F42C60"/>
    <w:rsid w:val="00F43282"/>
    <w:rsid w:val="00F43483"/>
    <w:rsid w:val="00F43729"/>
    <w:rsid w:val="00F43B7E"/>
    <w:rsid w:val="00F43D76"/>
    <w:rsid w:val="00F448CB"/>
    <w:rsid w:val="00F45019"/>
    <w:rsid w:val="00F45D9E"/>
    <w:rsid w:val="00F46DDB"/>
    <w:rsid w:val="00F50016"/>
    <w:rsid w:val="00F50066"/>
    <w:rsid w:val="00F50940"/>
    <w:rsid w:val="00F50B61"/>
    <w:rsid w:val="00F51A6F"/>
    <w:rsid w:val="00F51D11"/>
    <w:rsid w:val="00F51D4C"/>
    <w:rsid w:val="00F51DB9"/>
    <w:rsid w:val="00F51E4D"/>
    <w:rsid w:val="00F52E9D"/>
    <w:rsid w:val="00F53389"/>
    <w:rsid w:val="00F53780"/>
    <w:rsid w:val="00F542E9"/>
    <w:rsid w:val="00F54596"/>
    <w:rsid w:val="00F56195"/>
    <w:rsid w:val="00F56A8E"/>
    <w:rsid w:val="00F56B82"/>
    <w:rsid w:val="00F56E41"/>
    <w:rsid w:val="00F57C09"/>
    <w:rsid w:val="00F60292"/>
    <w:rsid w:val="00F6052C"/>
    <w:rsid w:val="00F605EC"/>
    <w:rsid w:val="00F60D8A"/>
    <w:rsid w:val="00F61116"/>
    <w:rsid w:val="00F6153E"/>
    <w:rsid w:val="00F61844"/>
    <w:rsid w:val="00F61CA3"/>
    <w:rsid w:val="00F61DE4"/>
    <w:rsid w:val="00F61FF3"/>
    <w:rsid w:val="00F624A9"/>
    <w:rsid w:val="00F6267E"/>
    <w:rsid w:val="00F629BB"/>
    <w:rsid w:val="00F62EA4"/>
    <w:rsid w:val="00F63639"/>
    <w:rsid w:val="00F63E40"/>
    <w:rsid w:val="00F642E9"/>
    <w:rsid w:val="00F6482B"/>
    <w:rsid w:val="00F64E5A"/>
    <w:rsid w:val="00F64F6D"/>
    <w:rsid w:val="00F6535E"/>
    <w:rsid w:val="00F654B1"/>
    <w:rsid w:val="00F65C9D"/>
    <w:rsid w:val="00F669F1"/>
    <w:rsid w:val="00F66A6F"/>
    <w:rsid w:val="00F6723A"/>
    <w:rsid w:val="00F6783B"/>
    <w:rsid w:val="00F70261"/>
    <w:rsid w:val="00F702F3"/>
    <w:rsid w:val="00F72DB2"/>
    <w:rsid w:val="00F73484"/>
    <w:rsid w:val="00F73A36"/>
    <w:rsid w:val="00F741DC"/>
    <w:rsid w:val="00F7429A"/>
    <w:rsid w:val="00F7435E"/>
    <w:rsid w:val="00F74C8E"/>
    <w:rsid w:val="00F754F4"/>
    <w:rsid w:val="00F75B6D"/>
    <w:rsid w:val="00F80805"/>
    <w:rsid w:val="00F81155"/>
    <w:rsid w:val="00F8169C"/>
    <w:rsid w:val="00F8289B"/>
    <w:rsid w:val="00F82948"/>
    <w:rsid w:val="00F82C9C"/>
    <w:rsid w:val="00F83C1A"/>
    <w:rsid w:val="00F83CE5"/>
    <w:rsid w:val="00F84463"/>
    <w:rsid w:val="00F84546"/>
    <w:rsid w:val="00F853B0"/>
    <w:rsid w:val="00F85420"/>
    <w:rsid w:val="00F8580D"/>
    <w:rsid w:val="00F85D86"/>
    <w:rsid w:val="00F85F9B"/>
    <w:rsid w:val="00F86B93"/>
    <w:rsid w:val="00F87221"/>
    <w:rsid w:val="00F87480"/>
    <w:rsid w:val="00F87D97"/>
    <w:rsid w:val="00F903AA"/>
    <w:rsid w:val="00F91F33"/>
    <w:rsid w:val="00F9280B"/>
    <w:rsid w:val="00F93263"/>
    <w:rsid w:val="00F93606"/>
    <w:rsid w:val="00F9364D"/>
    <w:rsid w:val="00F93BE6"/>
    <w:rsid w:val="00F93E43"/>
    <w:rsid w:val="00F943E7"/>
    <w:rsid w:val="00F9443F"/>
    <w:rsid w:val="00F9520B"/>
    <w:rsid w:val="00F95793"/>
    <w:rsid w:val="00F95C8B"/>
    <w:rsid w:val="00F9647F"/>
    <w:rsid w:val="00F968BF"/>
    <w:rsid w:val="00F97E4C"/>
    <w:rsid w:val="00FA0782"/>
    <w:rsid w:val="00FA0A11"/>
    <w:rsid w:val="00FA0D70"/>
    <w:rsid w:val="00FA17D2"/>
    <w:rsid w:val="00FA2733"/>
    <w:rsid w:val="00FA2839"/>
    <w:rsid w:val="00FA3659"/>
    <w:rsid w:val="00FA38B6"/>
    <w:rsid w:val="00FA39B4"/>
    <w:rsid w:val="00FA3FF2"/>
    <w:rsid w:val="00FA439C"/>
    <w:rsid w:val="00FA4F28"/>
    <w:rsid w:val="00FA5584"/>
    <w:rsid w:val="00FA5DBD"/>
    <w:rsid w:val="00FA618C"/>
    <w:rsid w:val="00FA6435"/>
    <w:rsid w:val="00FA6597"/>
    <w:rsid w:val="00FA7252"/>
    <w:rsid w:val="00FA7BC5"/>
    <w:rsid w:val="00FB19B5"/>
    <w:rsid w:val="00FB19C5"/>
    <w:rsid w:val="00FB1CF2"/>
    <w:rsid w:val="00FB1D10"/>
    <w:rsid w:val="00FB2187"/>
    <w:rsid w:val="00FB2AFC"/>
    <w:rsid w:val="00FB2D12"/>
    <w:rsid w:val="00FB3982"/>
    <w:rsid w:val="00FB41B8"/>
    <w:rsid w:val="00FB638E"/>
    <w:rsid w:val="00FB7521"/>
    <w:rsid w:val="00FB75BD"/>
    <w:rsid w:val="00FB7888"/>
    <w:rsid w:val="00FB7EA3"/>
    <w:rsid w:val="00FC050C"/>
    <w:rsid w:val="00FC17D0"/>
    <w:rsid w:val="00FC281E"/>
    <w:rsid w:val="00FC42F6"/>
    <w:rsid w:val="00FC484B"/>
    <w:rsid w:val="00FC4AAA"/>
    <w:rsid w:val="00FC637C"/>
    <w:rsid w:val="00FC7049"/>
    <w:rsid w:val="00FC76A5"/>
    <w:rsid w:val="00FC7D9B"/>
    <w:rsid w:val="00FC7DEC"/>
    <w:rsid w:val="00FD07C7"/>
    <w:rsid w:val="00FD17EF"/>
    <w:rsid w:val="00FD2924"/>
    <w:rsid w:val="00FD379C"/>
    <w:rsid w:val="00FD51DC"/>
    <w:rsid w:val="00FD5224"/>
    <w:rsid w:val="00FD5471"/>
    <w:rsid w:val="00FD5C06"/>
    <w:rsid w:val="00FD5E80"/>
    <w:rsid w:val="00FD7BA5"/>
    <w:rsid w:val="00FE050C"/>
    <w:rsid w:val="00FE0718"/>
    <w:rsid w:val="00FE08B1"/>
    <w:rsid w:val="00FE0E09"/>
    <w:rsid w:val="00FE2572"/>
    <w:rsid w:val="00FE3F21"/>
    <w:rsid w:val="00FE4A3E"/>
    <w:rsid w:val="00FE5567"/>
    <w:rsid w:val="00FE7E45"/>
    <w:rsid w:val="00FF0140"/>
    <w:rsid w:val="00FF05BA"/>
    <w:rsid w:val="00FF12A9"/>
    <w:rsid w:val="00FF1EEA"/>
    <w:rsid w:val="00FF316D"/>
    <w:rsid w:val="00FF3B17"/>
    <w:rsid w:val="00FF3B38"/>
    <w:rsid w:val="00FF3ECA"/>
    <w:rsid w:val="00FF3F1C"/>
    <w:rsid w:val="00FF4645"/>
    <w:rsid w:val="00FF51D2"/>
    <w:rsid w:val="00FF525D"/>
    <w:rsid w:val="00FF6C52"/>
    <w:rsid w:val="00FF71CB"/>
    <w:rsid w:val="00FF7AD8"/>
    <w:rsid w:val="00FF7C92"/>
    <w:rsid w:val="0258600C"/>
    <w:rsid w:val="02EDF752"/>
    <w:rsid w:val="0873E46F"/>
    <w:rsid w:val="0A1EE0A4"/>
    <w:rsid w:val="0A37A35F"/>
    <w:rsid w:val="1048534F"/>
    <w:rsid w:val="141241BD"/>
    <w:rsid w:val="15C5A5E9"/>
    <w:rsid w:val="1CA2DFCF"/>
    <w:rsid w:val="1E8C414D"/>
    <w:rsid w:val="1E93FC02"/>
    <w:rsid w:val="23052AB6"/>
    <w:rsid w:val="2684FE73"/>
    <w:rsid w:val="2685E58A"/>
    <w:rsid w:val="280B1E3F"/>
    <w:rsid w:val="2EB50C47"/>
    <w:rsid w:val="31576276"/>
    <w:rsid w:val="35D5D0C3"/>
    <w:rsid w:val="37663B9F"/>
    <w:rsid w:val="3CADEB3D"/>
    <w:rsid w:val="3EADCF37"/>
    <w:rsid w:val="3F39F663"/>
    <w:rsid w:val="42BDC581"/>
    <w:rsid w:val="43BAAC0E"/>
    <w:rsid w:val="4442CB68"/>
    <w:rsid w:val="44C96BA8"/>
    <w:rsid w:val="48F46226"/>
    <w:rsid w:val="4B30020C"/>
    <w:rsid w:val="4BC52DC3"/>
    <w:rsid w:val="4F9FC71F"/>
    <w:rsid w:val="513B9780"/>
    <w:rsid w:val="560F08A3"/>
    <w:rsid w:val="58A356BC"/>
    <w:rsid w:val="5DCD5E4C"/>
    <w:rsid w:val="62476BE3"/>
    <w:rsid w:val="65EAEFBC"/>
    <w:rsid w:val="67C0BF65"/>
    <w:rsid w:val="6BD33826"/>
    <w:rsid w:val="706333EB"/>
    <w:rsid w:val="71C41E13"/>
    <w:rsid w:val="72F394C1"/>
    <w:rsid w:val="769D2D2E"/>
    <w:rsid w:val="76A4B512"/>
    <w:rsid w:val="7C2DF1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0F707"/>
  <w15:docId w15:val="{11D763DD-2760-4DD2-AAC2-90580CF9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lang w:val="ga-IE" w:eastAsia="en-US" w:bidi="ar-SA"/>
      </w:rPr>
    </w:rPrDefault>
    <w:pPrDefault>
      <w:pPr>
        <w:spacing w:after="240" w:line="288" w:lineRule="auto"/>
        <w:jc w:val="both"/>
      </w:pPr>
    </w:pPrDefault>
  </w:docDefaults>
  <w:latentStyles w:defLockedState="0" w:defUIPriority="99" w:defSemiHidden="0" w:defUnhideWhenUsed="0" w:defQFormat="0" w:count="376">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uiPriority="63"/>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rsid w:val="00166F8F"/>
    <w:rPr>
      <w:rFonts w:cs="Arial"/>
      <w:lang w:val="en-IE"/>
    </w:rPr>
  </w:style>
  <w:style w:type="paragraph" w:styleId="Heading1">
    <w:name w:val="heading 1"/>
    <w:basedOn w:val="BodyText"/>
    <w:next w:val="BodyText"/>
    <w:link w:val="Heading1Char"/>
    <w:uiPriority w:val="9"/>
    <w:qFormat/>
    <w:rsid w:val="00F61DE4"/>
    <w:pPr>
      <w:keepNext/>
      <w:keepLines/>
      <w:outlineLvl w:val="0"/>
    </w:pPr>
    <w:rPr>
      <w:rFonts w:asciiTheme="majorHAnsi" w:eastAsiaTheme="majorEastAsia" w:hAnsiTheme="majorHAnsi" w:cstheme="majorHAnsi"/>
      <w:b/>
      <w:bCs/>
      <w:sz w:val="22"/>
      <w:szCs w:val="28"/>
    </w:rPr>
  </w:style>
  <w:style w:type="paragraph" w:styleId="Heading2">
    <w:name w:val="heading 2"/>
    <w:basedOn w:val="BodyText"/>
    <w:next w:val="BodyText"/>
    <w:link w:val="Heading2Char"/>
    <w:uiPriority w:val="9"/>
    <w:qFormat/>
    <w:rsid w:val="00B20377"/>
    <w:pPr>
      <w:keepNext/>
      <w:keepLines/>
      <w:outlineLvl w:val="1"/>
    </w:pPr>
    <w:rPr>
      <w:rFonts w:asciiTheme="majorHAnsi" w:eastAsiaTheme="majorEastAsia" w:hAnsiTheme="majorHAnsi" w:cstheme="majorHAnsi"/>
      <w:b/>
      <w:bCs/>
      <w:szCs w:val="26"/>
    </w:rPr>
  </w:style>
  <w:style w:type="paragraph" w:styleId="Heading3">
    <w:name w:val="heading 3"/>
    <w:basedOn w:val="BodyText"/>
    <w:next w:val="BodyText"/>
    <w:link w:val="Heading3Char"/>
    <w:uiPriority w:val="9"/>
    <w:qFormat/>
    <w:rsid w:val="000A1302"/>
    <w:pPr>
      <w:keepNext/>
      <w:keepLines/>
      <w:outlineLvl w:val="2"/>
    </w:pPr>
    <w:rPr>
      <w:rFonts w:asciiTheme="majorHAnsi" w:eastAsiaTheme="majorEastAsia" w:hAnsiTheme="majorHAnsi" w:cstheme="majorHAnsi"/>
      <w:bCs/>
      <w:i/>
    </w:rPr>
  </w:style>
  <w:style w:type="paragraph" w:styleId="Heading4">
    <w:name w:val="heading 4"/>
    <w:basedOn w:val="BodyText"/>
    <w:next w:val="BodyText"/>
    <w:link w:val="Heading4Char"/>
    <w:uiPriority w:val="9"/>
    <w:qFormat/>
    <w:rsid w:val="003B5D72"/>
    <w:pPr>
      <w:keepNext/>
      <w:keepLines/>
      <w:outlineLvl w:val="3"/>
    </w:pPr>
    <w:rPr>
      <w:rFonts w:asciiTheme="majorHAnsi" w:eastAsiaTheme="majorEastAsia" w:hAnsiTheme="majorHAnsi" w:cstheme="majorHAnsi"/>
      <w:bCs/>
      <w:iCs/>
    </w:rPr>
  </w:style>
  <w:style w:type="paragraph" w:styleId="Heading5">
    <w:name w:val="heading 5"/>
    <w:basedOn w:val="BodyText"/>
    <w:next w:val="BodyText"/>
    <w:link w:val="Heading5Char"/>
    <w:uiPriority w:val="9"/>
    <w:qFormat/>
    <w:rsid w:val="003959CF"/>
    <w:pPr>
      <w:keepNext/>
      <w:keepLines/>
      <w:outlineLvl w:val="4"/>
    </w:pPr>
    <w:rPr>
      <w:rFonts w:asciiTheme="majorHAnsi" w:eastAsiaTheme="majorEastAsia" w:hAnsiTheme="majorHAnsi" w:cstheme="majorHAnsi"/>
      <w:i/>
    </w:rPr>
  </w:style>
  <w:style w:type="paragraph" w:styleId="Heading6">
    <w:name w:val="heading 6"/>
    <w:basedOn w:val="BodyText"/>
    <w:next w:val="BodyText"/>
    <w:link w:val="Heading6Char"/>
    <w:uiPriority w:val="9"/>
    <w:semiHidden/>
    <w:qFormat/>
    <w:rsid w:val="003959CF"/>
    <w:pPr>
      <w:keepNext/>
      <w:keepLines/>
      <w:outlineLvl w:val="5"/>
    </w:pPr>
    <w:rPr>
      <w:rFonts w:asciiTheme="majorHAnsi" w:eastAsiaTheme="majorEastAsia" w:hAnsiTheme="majorHAnsi" w:cstheme="majorHAnsi"/>
      <w:i/>
      <w:iCs/>
    </w:rPr>
  </w:style>
  <w:style w:type="paragraph" w:styleId="Heading7">
    <w:name w:val="heading 7"/>
    <w:basedOn w:val="BodyText"/>
    <w:next w:val="BodyText"/>
    <w:link w:val="Heading7Char"/>
    <w:uiPriority w:val="9"/>
    <w:semiHidden/>
    <w:qFormat/>
    <w:rsid w:val="003959CF"/>
    <w:pPr>
      <w:keepNext/>
      <w:keepLines/>
      <w:outlineLvl w:val="6"/>
    </w:pPr>
    <w:rPr>
      <w:rFonts w:asciiTheme="majorHAnsi" w:eastAsiaTheme="majorEastAsia" w:hAnsiTheme="majorHAnsi" w:cstheme="majorHAnsi"/>
      <w:i/>
      <w:iCs/>
    </w:rPr>
  </w:style>
  <w:style w:type="paragraph" w:styleId="Heading8">
    <w:name w:val="heading 8"/>
    <w:basedOn w:val="BodyText"/>
    <w:next w:val="BodyText"/>
    <w:link w:val="Heading8Char"/>
    <w:uiPriority w:val="9"/>
    <w:semiHidden/>
    <w:qFormat/>
    <w:rsid w:val="003959CF"/>
    <w:pPr>
      <w:keepNext/>
      <w:keepLines/>
      <w:outlineLvl w:val="7"/>
    </w:pPr>
    <w:rPr>
      <w:rFonts w:asciiTheme="majorHAnsi" w:eastAsiaTheme="majorEastAsia" w:hAnsiTheme="majorHAnsi" w:cstheme="majorHAnsi"/>
      <w:i/>
    </w:rPr>
  </w:style>
  <w:style w:type="paragraph" w:styleId="Heading9">
    <w:name w:val="heading 9"/>
    <w:basedOn w:val="BodyText"/>
    <w:next w:val="BodyText"/>
    <w:link w:val="Heading9Char"/>
    <w:uiPriority w:val="9"/>
    <w:semiHidden/>
    <w:qFormat/>
    <w:rsid w:val="003959CF"/>
    <w:pPr>
      <w:keepNext/>
      <w:keepLines/>
      <w:outlineLvl w:val="8"/>
    </w:pPr>
    <w:rPr>
      <w:rFonts w:asciiTheme="majorHAnsi" w:eastAsiaTheme="majorEastAsia" w:hAnsiTheme="majorHAnsi" w:cstheme="majorHAns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BodyText"/>
    <w:link w:val="NoSpacingChar"/>
    <w:uiPriority w:val="1"/>
    <w:unhideWhenUsed/>
    <w:qFormat/>
    <w:rsid w:val="00603419"/>
    <w:pPr>
      <w:spacing w:after="0" w:line="240" w:lineRule="auto"/>
    </w:pPr>
  </w:style>
  <w:style w:type="character" w:customStyle="1" w:styleId="Heading1Char">
    <w:name w:val="Heading 1 Char"/>
    <w:basedOn w:val="DefaultParagraphFont"/>
    <w:link w:val="Heading1"/>
    <w:uiPriority w:val="9"/>
    <w:rsid w:val="009C2C9B"/>
    <w:rPr>
      <w:rFonts w:asciiTheme="majorHAnsi" w:eastAsiaTheme="majorEastAsia" w:hAnsiTheme="majorHAnsi" w:cstheme="majorHAnsi"/>
      <w:b/>
      <w:bCs/>
      <w:sz w:val="22"/>
      <w:szCs w:val="28"/>
    </w:rPr>
  </w:style>
  <w:style w:type="paragraph" w:styleId="BodyText">
    <w:name w:val="Body Text"/>
    <w:link w:val="BodyTextChar"/>
    <w:unhideWhenUsed/>
    <w:qFormat/>
    <w:rsid w:val="00331388"/>
    <w:rPr>
      <w:lang w:val="en-GB"/>
    </w:rPr>
  </w:style>
  <w:style w:type="character" w:customStyle="1" w:styleId="BodyTextChar">
    <w:name w:val="Body Text Char"/>
    <w:basedOn w:val="DefaultParagraphFont"/>
    <w:link w:val="BodyText"/>
    <w:rsid w:val="00331388"/>
    <w:rPr>
      <w:lang w:val="en-GB"/>
    </w:rPr>
  </w:style>
  <w:style w:type="character" w:customStyle="1" w:styleId="Heading2Char">
    <w:name w:val="Heading 2 Char"/>
    <w:basedOn w:val="DefaultParagraphFont"/>
    <w:link w:val="Heading2"/>
    <w:uiPriority w:val="9"/>
    <w:rsid w:val="009C2C9B"/>
    <w:rPr>
      <w:rFonts w:asciiTheme="majorHAnsi" w:eastAsiaTheme="majorEastAsia" w:hAnsiTheme="majorHAnsi" w:cstheme="majorHAnsi"/>
      <w:b/>
      <w:bCs/>
      <w:szCs w:val="26"/>
    </w:rPr>
  </w:style>
  <w:style w:type="character" w:customStyle="1" w:styleId="Heading3Char">
    <w:name w:val="Heading 3 Char"/>
    <w:basedOn w:val="DefaultParagraphFont"/>
    <w:link w:val="Heading3"/>
    <w:uiPriority w:val="9"/>
    <w:rsid w:val="000A1302"/>
    <w:rPr>
      <w:rFonts w:asciiTheme="majorHAnsi" w:eastAsiaTheme="majorEastAsia" w:hAnsiTheme="majorHAnsi" w:cstheme="majorHAnsi"/>
      <w:bCs/>
      <w:i/>
    </w:rPr>
  </w:style>
  <w:style w:type="character" w:customStyle="1" w:styleId="Heading4Char">
    <w:name w:val="Heading 4 Char"/>
    <w:basedOn w:val="DefaultParagraphFont"/>
    <w:link w:val="Heading4"/>
    <w:uiPriority w:val="9"/>
    <w:rsid w:val="003B5D72"/>
    <w:rPr>
      <w:rFonts w:asciiTheme="majorHAnsi" w:eastAsiaTheme="majorEastAsia" w:hAnsiTheme="majorHAnsi" w:cstheme="majorHAnsi"/>
      <w:bCs/>
      <w:iCs/>
    </w:rPr>
  </w:style>
  <w:style w:type="character" w:customStyle="1" w:styleId="Heading5Char">
    <w:name w:val="Heading 5 Char"/>
    <w:basedOn w:val="DefaultParagraphFont"/>
    <w:link w:val="Heading5"/>
    <w:uiPriority w:val="9"/>
    <w:rsid w:val="009C2C9B"/>
    <w:rPr>
      <w:rFonts w:asciiTheme="majorHAnsi" w:eastAsiaTheme="majorEastAsia" w:hAnsiTheme="majorHAnsi" w:cstheme="majorHAnsi"/>
      <w:i/>
    </w:rPr>
  </w:style>
  <w:style w:type="character" w:customStyle="1" w:styleId="Heading6Char">
    <w:name w:val="Heading 6 Char"/>
    <w:basedOn w:val="DefaultParagraphFont"/>
    <w:link w:val="Heading6"/>
    <w:uiPriority w:val="9"/>
    <w:semiHidden/>
    <w:rsid w:val="009C2C9B"/>
    <w:rPr>
      <w:rFonts w:asciiTheme="majorHAnsi" w:eastAsiaTheme="majorEastAsia" w:hAnsiTheme="majorHAnsi" w:cstheme="majorHAnsi"/>
      <w:i/>
      <w:iCs/>
    </w:rPr>
  </w:style>
  <w:style w:type="character" w:customStyle="1" w:styleId="Heading7Char">
    <w:name w:val="Heading 7 Char"/>
    <w:basedOn w:val="DefaultParagraphFont"/>
    <w:link w:val="Heading7"/>
    <w:uiPriority w:val="9"/>
    <w:semiHidden/>
    <w:rsid w:val="009C2C9B"/>
    <w:rPr>
      <w:rFonts w:asciiTheme="majorHAnsi" w:eastAsiaTheme="majorEastAsia" w:hAnsiTheme="majorHAnsi" w:cstheme="majorHAnsi"/>
      <w:i/>
      <w:iCs/>
    </w:rPr>
  </w:style>
  <w:style w:type="character" w:customStyle="1" w:styleId="Heading8Char">
    <w:name w:val="Heading 8 Char"/>
    <w:basedOn w:val="DefaultParagraphFont"/>
    <w:link w:val="Heading8"/>
    <w:uiPriority w:val="9"/>
    <w:semiHidden/>
    <w:rsid w:val="009C2C9B"/>
    <w:rPr>
      <w:rFonts w:asciiTheme="majorHAnsi" w:eastAsiaTheme="majorEastAsia" w:hAnsiTheme="majorHAnsi" w:cstheme="majorHAnsi"/>
      <w:i/>
    </w:rPr>
  </w:style>
  <w:style w:type="paragraph" w:styleId="Title">
    <w:name w:val="Title"/>
    <w:basedOn w:val="BodyText"/>
    <w:next w:val="Subtitle"/>
    <w:link w:val="TitleChar"/>
    <w:uiPriority w:val="10"/>
    <w:unhideWhenUsed/>
    <w:qFormat/>
    <w:rsid w:val="005D2D82"/>
    <w:pPr>
      <w:keepNext/>
      <w:keepLines/>
      <w:jc w:val="center"/>
    </w:pPr>
    <w:rPr>
      <w:rFonts w:asciiTheme="majorHAnsi" w:eastAsiaTheme="majorEastAsia" w:hAnsiTheme="majorHAnsi" w:cstheme="majorHAnsi"/>
      <w:b/>
      <w:kern w:val="28"/>
      <w:sz w:val="22"/>
      <w:szCs w:val="52"/>
    </w:rPr>
  </w:style>
  <w:style w:type="character" w:customStyle="1" w:styleId="TitleChar">
    <w:name w:val="Title Char"/>
    <w:basedOn w:val="DefaultParagraphFont"/>
    <w:link w:val="Title"/>
    <w:uiPriority w:val="10"/>
    <w:rsid w:val="00F32436"/>
    <w:rPr>
      <w:rFonts w:asciiTheme="majorHAnsi" w:eastAsiaTheme="majorEastAsia" w:hAnsiTheme="majorHAnsi" w:cstheme="majorHAnsi"/>
      <w:b/>
      <w:kern w:val="28"/>
      <w:sz w:val="22"/>
      <w:szCs w:val="52"/>
    </w:rPr>
  </w:style>
  <w:style w:type="character" w:customStyle="1" w:styleId="Heading9Char">
    <w:name w:val="Heading 9 Char"/>
    <w:basedOn w:val="DefaultParagraphFont"/>
    <w:link w:val="Heading9"/>
    <w:uiPriority w:val="9"/>
    <w:semiHidden/>
    <w:rsid w:val="009C2C9B"/>
    <w:rPr>
      <w:rFonts w:asciiTheme="majorHAnsi" w:eastAsiaTheme="majorEastAsia" w:hAnsiTheme="majorHAnsi" w:cstheme="majorHAnsi"/>
      <w:i/>
      <w:iCs/>
    </w:rPr>
  </w:style>
  <w:style w:type="character" w:styleId="SubtleEmphasis">
    <w:name w:val="Subtle Emphasis"/>
    <w:basedOn w:val="DefaultParagraphFont"/>
    <w:uiPriority w:val="19"/>
    <w:qFormat/>
    <w:rsid w:val="00361CBC"/>
    <w:rPr>
      <w:rFonts w:ascii="Arial" w:hAnsi="Arial"/>
      <w:b w:val="0"/>
      <w:i/>
      <w:iCs/>
      <w:color w:val="auto"/>
      <w:sz w:val="20"/>
    </w:rPr>
  </w:style>
  <w:style w:type="paragraph" w:styleId="Subtitle">
    <w:name w:val="Subtitle"/>
    <w:basedOn w:val="BodyText"/>
    <w:next w:val="BodyText"/>
    <w:link w:val="SubtitleChar"/>
    <w:uiPriority w:val="11"/>
    <w:unhideWhenUsed/>
    <w:qFormat/>
    <w:rsid w:val="00361CBC"/>
    <w:pPr>
      <w:keepNext/>
      <w:keepLines/>
      <w:numPr>
        <w:ilvl w:val="1"/>
      </w:numPr>
      <w:jc w:val="center"/>
    </w:pPr>
    <w:rPr>
      <w:rFonts w:asciiTheme="majorHAnsi" w:eastAsiaTheme="majorEastAsia" w:hAnsiTheme="majorHAnsi" w:cstheme="majorHAnsi"/>
      <w:b/>
      <w:iCs/>
      <w:szCs w:val="24"/>
    </w:rPr>
  </w:style>
  <w:style w:type="character" w:customStyle="1" w:styleId="SubtitleChar">
    <w:name w:val="Subtitle Char"/>
    <w:basedOn w:val="DefaultParagraphFont"/>
    <w:link w:val="Subtitle"/>
    <w:uiPriority w:val="11"/>
    <w:rsid w:val="00F32436"/>
    <w:rPr>
      <w:rFonts w:asciiTheme="majorHAnsi" w:eastAsiaTheme="majorEastAsia" w:hAnsiTheme="majorHAnsi" w:cstheme="majorHAnsi"/>
      <w:b/>
      <w:iCs/>
      <w:szCs w:val="24"/>
    </w:rPr>
  </w:style>
  <w:style w:type="character" w:styleId="Emphasis">
    <w:name w:val="Emphasis"/>
    <w:basedOn w:val="DefaultParagraphFont"/>
    <w:uiPriority w:val="20"/>
    <w:qFormat/>
    <w:rsid w:val="00361CBC"/>
    <w:rPr>
      <w:rFonts w:ascii="Arial" w:hAnsi="Arial"/>
      <w:i/>
      <w:iCs/>
      <w:sz w:val="20"/>
    </w:rPr>
  </w:style>
  <w:style w:type="character" w:styleId="IntenseEmphasis">
    <w:name w:val="Intense Emphasis"/>
    <w:basedOn w:val="DefaultParagraphFont"/>
    <w:uiPriority w:val="21"/>
    <w:qFormat/>
    <w:rsid w:val="00361CBC"/>
    <w:rPr>
      <w:rFonts w:ascii="Arial" w:hAnsi="Arial"/>
      <w:b/>
      <w:bCs/>
      <w:i/>
      <w:iCs/>
      <w:color w:val="auto"/>
      <w:sz w:val="20"/>
    </w:rPr>
  </w:style>
  <w:style w:type="character" w:styleId="Strong">
    <w:name w:val="Strong"/>
    <w:basedOn w:val="DefaultParagraphFont"/>
    <w:uiPriority w:val="22"/>
    <w:qFormat/>
    <w:rsid w:val="00361CBC"/>
    <w:rPr>
      <w:rFonts w:ascii="Arial" w:hAnsi="Arial"/>
      <w:b/>
      <w:bCs/>
      <w:sz w:val="20"/>
    </w:rPr>
  </w:style>
  <w:style w:type="paragraph" w:styleId="Quote">
    <w:name w:val="Quote"/>
    <w:basedOn w:val="BodyText"/>
    <w:next w:val="BodyText"/>
    <w:link w:val="QuoteChar"/>
    <w:uiPriority w:val="29"/>
    <w:qFormat/>
    <w:rsid w:val="00361CBC"/>
    <w:pPr>
      <w:ind w:left="709" w:right="709"/>
    </w:pPr>
    <w:rPr>
      <w:i/>
      <w:iCs/>
      <w:color w:val="C0C0C0" w:themeColor="text1"/>
    </w:rPr>
  </w:style>
  <w:style w:type="character" w:customStyle="1" w:styleId="QuoteChar">
    <w:name w:val="Quote Char"/>
    <w:basedOn w:val="DefaultParagraphFont"/>
    <w:link w:val="Quote"/>
    <w:uiPriority w:val="29"/>
    <w:rsid w:val="009C2C9B"/>
    <w:rPr>
      <w:i/>
      <w:iCs/>
      <w:color w:val="C0C0C0" w:themeColor="text1"/>
    </w:rPr>
  </w:style>
  <w:style w:type="paragraph" w:styleId="IntenseQuote">
    <w:name w:val="Intense Quote"/>
    <w:basedOn w:val="BodyText"/>
    <w:next w:val="BodyText"/>
    <w:link w:val="IntenseQuoteChar"/>
    <w:uiPriority w:val="30"/>
    <w:qFormat/>
    <w:rsid w:val="00361CBC"/>
    <w:pPr>
      <w:ind w:left="709" w:right="709"/>
    </w:pPr>
    <w:rPr>
      <w:b/>
      <w:bCs/>
      <w:i/>
      <w:iCs/>
    </w:rPr>
  </w:style>
  <w:style w:type="character" w:customStyle="1" w:styleId="IntenseQuoteChar">
    <w:name w:val="Intense Quote Char"/>
    <w:basedOn w:val="DefaultParagraphFont"/>
    <w:link w:val="IntenseQuote"/>
    <w:uiPriority w:val="30"/>
    <w:rsid w:val="009C2C9B"/>
    <w:rPr>
      <w:b/>
      <w:bCs/>
      <w:i/>
      <w:iCs/>
    </w:rPr>
  </w:style>
  <w:style w:type="character" w:styleId="SubtleReference">
    <w:name w:val="Subtle Reference"/>
    <w:basedOn w:val="DefaultParagraphFont"/>
    <w:uiPriority w:val="31"/>
    <w:qFormat/>
    <w:rsid w:val="00361CBC"/>
    <w:rPr>
      <w:rFonts w:ascii="Arial" w:hAnsi="Arial"/>
      <w:caps w:val="0"/>
      <w:smallCaps/>
      <w:color w:val="auto"/>
      <w:sz w:val="20"/>
      <w:u w:val="single"/>
      <w:bdr w:val="none" w:sz="0" w:space="0" w:color="auto"/>
    </w:rPr>
  </w:style>
  <w:style w:type="character" w:styleId="IntenseReference">
    <w:name w:val="Intense Reference"/>
    <w:basedOn w:val="DefaultParagraphFont"/>
    <w:uiPriority w:val="32"/>
    <w:qFormat/>
    <w:rsid w:val="00361CBC"/>
    <w:rPr>
      <w:rFonts w:ascii="Arial" w:hAnsi="Arial"/>
      <w:b/>
      <w:bCs/>
      <w:smallCaps/>
      <w:color w:val="auto"/>
      <w:spacing w:val="5"/>
      <w:sz w:val="20"/>
      <w:u w:val="single"/>
    </w:rPr>
  </w:style>
  <w:style w:type="character" w:styleId="BookTitle">
    <w:name w:val="Book Title"/>
    <w:basedOn w:val="DefaultParagraphFont"/>
    <w:uiPriority w:val="33"/>
    <w:qFormat/>
    <w:rsid w:val="00361CBC"/>
    <w:rPr>
      <w:rFonts w:asciiTheme="majorHAnsi" w:hAnsiTheme="majorHAnsi" w:cstheme="majorHAnsi"/>
      <w:b/>
      <w:bCs/>
      <w:smallCaps/>
      <w:spacing w:val="5"/>
      <w:sz w:val="20"/>
    </w:rPr>
  </w:style>
  <w:style w:type="paragraph" w:styleId="ListParagraph">
    <w:name w:val="List Paragraph"/>
    <w:basedOn w:val="BodyText"/>
    <w:uiPriority w:val="34"/>
    <w:qFormat/>
    <w:rsid w:val="00361CBC"/>
    <w:pPr>
      <w:ind w:left="709"/>
      <w:contextualSpacing/>
    </w:pPr>
  </w:style>
  <w:style w:type="paragraph" w:styleId="Caption">
    <w:name w:val="caption"/>
    <w:basedOn w:val="BodyText"/>
    <w:next w:val="BodyText"/>
    <w:uiPriority w:val="35"/>
    <w:qFormat/>
    <w:rsid w:val="00361CBC"/>
    <w:pPr>
      <w:spacing w:after="0" w:line="240" w:lineRule="auto"/>
    </w:pPr>
    <w:rPr>
      <w:b/>
      <w:bCs/>
      <w:szCs w:val="18"/>
    </w:rPr>
  </w:style>
  <w:style w:type="paragraph" w:styleId="Bibliography">
    <w:name w:val="Bibliography"/>
    <w:basedOn w:val="BodyText"/>
    <w:next w:val="BodyText"/>
    <w:uiPriority w:val="99"/>
    <w:semiHidden/>
    <w:rsid w:val="00361CBC"/>
  </w:style>
  <w:style w:type="paragraph" w:styleId="TOC1">
    <w:name w:val="toc 1"/>
    <w:basedOn w:val="BodyText"/>
    <w:next w:val="BodyText"/>
    <w:autoRedefine/>
    <w:uiPriority w:val="39"/>
    <w:qFormat/>
    <w:rsid w:val="00FB7EA3"/>
    <w:pPr>
      <w:tabs>
        <w:tab w:val="right" w:leader="dot" w:pos="8930"/>
      </w:tabs>
      <w:spacing w:before="120" w:after="0" w:line="240" w:lineRule="auto"/>
      <w:ind w:left="709" w:right="709" w:hanging="709"/>
    </w:pPr>
  </w:style>
  <w:style w:type="paragraph" w:styleId="TOC2">
    <w:name w:val="toc 2"/>
    <w:basedOn w:val="BodyText"/>
    <w:next w:val="BodyText"/>
    <w:autoRedefine/>
    <w:uiPriority w:val="39"/>
    <w:qFormat/>
    <w:rsid w:val="00FB7EA3"/>
    <w:pPr>
      <w:tabs>
        <w:tab w:val="right" w:leader="dot" w:pos="8930"/>
      </w:tabs>
      <w:spacing w:after="0" w:line="240" w:lineRule="auto"/>
      <w:ind w:left="1418" w:right="709" w:hanging="709"/>
    </w:pPr>
  </w:style>
  <w:style w:type="paragraph" w:styleId="TOC3">
    <w:name w:val="toc 3"/>
    <w:basedOn w:val="BodyText"/>
    <w:next w:val="BodyText"/>
    <w:autoRedefine/>
    <w:uiPriority w:val="39"/>
    <w:qFormat/>
    <w:rsid w:val="001E3E1D"/>
    <w:pPr>
      <w:tabs>
        <w:tab w:val="right" w:leader="dot" w:pos="8930"/>
      </w:tabs>
      <w:spacing w:after="0" w:line="240" w:lineRule="auto"/>
      <w:ind w:left="2127" w:right="709" w:hanging="709"/>
    </w:pPr>
  </w:style>
  <w:style w:type="paragraph" w:styleId="TOCHeading">
    <w:name w:val="TOC Heading"/>
    <w:basedOn w:val="BodyText"/>
    <w:next w:val="BodyText"/>
    <w:uiPriority w:val="39"/>
    <w:semiHidden/>
    <w:unhideWhenUsed/>
    <w:qFormat/>
    <w:rsid w:val="002B52CA"/>
    <w:pPr>
      <w:keepNext/>
      <w:keepLines/>
      <w:jc w:val="center"/>
    </w:pPr>
    <w:rPr>
      <w:b/>
      <w:sz w:val="22"/>
    </w:rPr>
  </w:style>
  <w:style w:type="paragraph" w:styleId="BalloonText">
    <w:name w:val="Balloon Text"/>
    <w:basedOn w:val="BodyText"/>
    <w:link w:val="BalloonTextChar"/>
    <w:uiPriority w:val="99"/>
    <w:semiHidden/>
    <w:rsid w:val="002B52CA"/>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9C2C9B"/>
    <w:rPr>
      <w:rFonts w:cs="Tahoma"/>
      <w:sz w:val="16"/>
      <w:szCs w:val="16"/>
    </w:rPr>
  </w:style>
  <w:style w:type="paragraph" w:styleId="BodyText2">
    <w:name w:val="Body Text 2"/>
    <w:basedOn w:val="BodyText"/>
    <w:link w:val="BodyText2Char"/>
    <w:uiPriority w:val="99"/>
    <w:semiHidden/>
    <w:rsid w:val="003E0D28"/>
    <w:pPr>
      <w:spacing w:line="480" w:lineRule="auto"/>
    </w:pPr>
  </w:style>
  <w:style w:type="character" w:customStyle="1" w:styleId="BodyText2Char">
    <w:name w:val="Body Text 2 Char"/>
    <w:basedOn w:val="DefaultParagraphFont"/>
    <w:link w:val="BodyText2"/>
    <w:uiPriority w:val="99"/>
    <w:semiHidden/>
    <w:rsid w:val="003E0D28"/>
    <w:rPr>
      <w:lang w:val="en-GB"/>
    </w:rPr>
  </w:style>
  <w:style w:type="paragraph" w:styleId="BodyText3">
    <w:name w:val="Body Text 3"/>
    <w:basedOn w:val="BodyText"/>
    <w:link w:val="BodyText3Char"/>
    <w:uiPriority w:val="99"/>
    <w:semiHidden/>
    <w:rsid w:val="002B52CA"/>
    <w:rPr>
      <w:szCs w:val="16"/>
    </w:rPr>
  </w:style>
  <w:style w:type="character" w:customStyle="1" w:styleId="BodyText3Char">
    <w:name w:val="Body Text 3 Char"/>
    <w:basedOn w:val="DefaultParagraphFont"/>
    <w:link w:val="BodyText3"/>
    <w:uiPriority w:val="99"/>
    <w:semiHidden/>
    <w:rsid w:val="009C2C9B"/>
    <w:rPr>
      <w:szCs w:val="16"/>
    </w:rPr>
  </w:style>
  <w:style w:type="paragraph" w:styleId="BodyTextFirstIndent">
    <w:name w:val="Body Text First Indent"/>
    <w:basedOn w:val="BodyText"/>
    <w:link w:val="BodyTextFirstIndentChar"/>
    <w:uiPriority w:val="99"/>
    <w:semiHidden/>
    <w:rsid w:val="002B52CA"/>
    <w:pPr>
      <w:ind w:left="709" w:firstLine="709"/>
    </w:pPr>
  </w:style>
  <w:style w:type="character" w:customStyle="1" w:styleId="BodyTextFirstIndentChar">
    <w:name w:val="Body Text First Indent Char"/>
    <w:basedOn w:val="BodyTextChar"/>
    <w:link w:val="BodyTextFirstIndent"/>
    <w:uiPriority w:val="99"/>
    <w:semiHidden/>
    <w:rsid w:val="009C2C9B"/>
    <w:rPr>
      <w:lang w:val="en-GB"/>
    </w:rPr>
  </w:style>
  <w:style w:type="paragraph" w:styleId="BodyTextIndent">
    <w:name w:val="Body Text Indent"/>
    <w:basedOn w:val="BodyText"/>
    <w:link w:val="BodyTextIndentChar"/>
    <w:uiPriority w:val="99"/>
    <w:semiHidden/>
    <w:rsid w:val="002B52CA"/>
    <w:pPr>
      <w:ind w:left="709"/>
    </w:pPr>
  </w:style>
  <w:style w:type="character" w:customStyle="1" w:styleId="BodyTextIndentChar">
    <w:name w:val="Body Text Indent Char"/>
    <w:basedOn w:val="DefaultParagraphFont"/>
    <w:link w:val="BodyTextIndent"/>
    <w:uiPriority w:val="99"/>
    <w:semiHidden/>
    <w:rsid w:val="009C2C9B"/>
  </w:style>
  <w:style w:type="paragraph" w:styleId="BodyTextFirstIndent2">
    <w:name w:val="Body Text First Indent 2"/>
    <w:basedOn w:val="BodyText"/>
    <w:link w:val="BodyTextFirstIndent2Char"/>
    <w:uiPriority w:val="99"/>
    <w:semiHidden/>
    <w:rsid w:val="002B52CA"/>
    <w:pPr>
      <w:ind w:left="1418" w:firstLine="709"/>
    </w:pPr>
  </w:style>
  <w:style w:type="character" w:customStyle="1" w:styleId="BodyTextFirstIndent2Char">
    <w:name w:val="Body Text First Indent 2 Char"/>
    <w:basedOn w:val="BodyTextIndentChar"/>
    <w:link w:val="BodyTextFirstIndent2"/>
    <w:uiPriority w:val="99"/>
    <w:semiHidden/>
    <w:rsid w:val="009C2C9B"/>
  </w:style>
  <w:style w:type="paragraph" w:styleId="BodyTextIndent2">
    <w:name w:val="Body Text Indent 2"/>
    <w:basedOn w:val="BodyText"/>
    <w:link w:val="BodyTextIndent2Char"/>
    <w:uiPriority w:val="99"/>
    <w:semiHidden/>
    <w:rsid w:val="003E0D28"/>
    <w:pPr>
      <w:spacing w:line="480" w:lineRule="auto"/>
      <w:ind w:left="709"/>
    </w:pPr>
  </w:style>
  <w:style w:type="character" w:customStyle="1" w:styleId="BodyTextIndent2Char">
    <w:name w:val="Body Text Indent 2 Char"/>
    <w:basedOn w:val="DefaultParagraphFont"/>
    <w:link w:val="BodyTextIndent2"/>
    <w:uiPriority w:val="99"/>
    <w:semiHidden/>
    <w:rsid w:val="003E0D28"/>
    <w:rPr>
      <w:lang w:val="en-GB"/>
    </w:rPr>
  </w:style>
  <w:style w:type="paragraph" w:styleId="BodyTextIndent3">
    <w:name w:val="Body Text Indent 3"/>
    <w:basedOn w:val="BodyText"/>
    <w:link w:val="BodyTextIndent3Char"/>
    <w:uiPriority w:val="99"/>
    <w:semiHidden/>
    <w:rsid w:val="002B52CA"/>
    <w:pPr>
      <w:ind w:left="709"/>
    </w:pPr>
    <w:rPr>
      <w:szCs w:val="16"/>
    </w:rPr>
  </w:style>
  <w:style w:type="character" w:customStyle="1" w:styleId="BodyTextIndent3Char">
    <w:name w:val="Body Text Indent 3 Char"/>
    <w:basedOn w:val="DefaultParagraphFont"/>
    <w:link w:val="BodyTextIndent3"/>
    <w:uiPriority w:val="99"/>
    <w:semiHidden/>
    <w:rsid w:val="009C2C9B"/>
    <w:rPr>
      <w:szCs w:val="16"/>
    </w:rPr>
  </w:style>
  <w:style w:type="paragraph" w:styleId="BlockText">
    <w:name w:val="Block Text"/>
    <w:basedOn w:val="BodyText"/>
    <w:uiPriority w:val="99"/>
    <w:semiHidden/>
    <w:rsid w:val="00222FE1"/>
    <w:pPr>
      <w:ind w:left="709" w:right="709"/>
    </w:pPr>
    <w:rPr>
      <w:rFonts w:eastAsiaTheme="minorEastAsia"/>
      <w:iCs/>
    </w:rPr>
  </w:style>
  <w:style w:type="paragraph" w:styleId="Closing">
    <w:name w:val="Closing"/>
    <w:basedOn w:val="BodyText"/>
    <w:link w:val="ClosingChar"/>
    <w:uiPriority w:val="99"/>
    <w:semiHidden/>
    <w:rsid w:val="00222FE1"/>
    <w:pPr>
      <w:spacing w:after="0" w:line="240" w:lineRule="auto"/>
      <w:ind w:left="4253"/>
    </w:pPr>
  </w:style>
  <w:style w:type="character" w:customStyle="1" w:styleId="ClosingChar">
    <w:name w:val="Closing Char"/>
    <w:basedOn w:val="DefaultParagraphFont"/>
    <w:link w:val="Closing"/>
    <w:uiPriority w:val="99"/>
    <w:semiHidden/>
    <w:rsid w:val="009C2C9B"/>
  </w:style>
  <w:style w:type="character" w:styleId="CommentReference">
    <w:name w:val="annotation reference"/>
    <w:aliases w:val="Stinking Styles6,Marque de commentaire1,Stinking Styles61,Marque de commentaire11"/>
    <w:basedOn w:val="DefaultParagraphFont"/>
    <w:rsid w:val="00222FE1"/>
    <w:rPr>
      <w:rFonts w:ascii="Arial" w:hAnsi="Arial"/>
      <w:sz w:val="16"/>
      <w:szCs w:val="16"/>
    </w:rPr>
  </w:style>
  <w:style w:type="paragraph" w:styleId="CommentText">
    <w:name w:val="annotation text"/>
    <w:aliases w:val="Stinking Styles5"/>
    <w:basedOn w:val="BodyText"/>
    <w:link w:val="CommentTextChar"/>
    <w:rsid w:val="00222FE1"/>
  </w:style>
  <w:style w:type="character" w:customStyle="1" w:styleId="CommentTextChar">
    <w:name w:val="Comment Text Char"/>
    <w:aliases w:val="Stinking Styles5 Char"/>
    <w:basedOn w:val="DefaultParagraphFont"/>
    <w:link w:val="CommentText"/>
    <w:rsid w:val="009C2C9B"/>
  </w:style>
  <w:style w:type="paragraph" w:styleId="CommentSubject">
    <w:name w:val="annotation subject"/>
    <w:basedOn w:val="BodyText"/>
    <w:next w:val="CommentText"/>
    <w:link w:val="CommentSubjectChar"/>
    <w:semiHidden/>
    <w:rsid w:val="00222FE1"/>
    <w:rPr>
      <w:b/>
      <w:bCs/>
    </w:rPr>
  </w:style>
  <w:style w:type="character" w:customStyle="1" w:styleId="CommentSubjectChar">
    <w:name w:val="Comment Subject Char"/>
    <w:basedOn w:val="CommentTextChar"/>
    <w:link w:val="CommentSubject"/>
    <w:semiHidden/>
    <w:rsid w:val="009C2C9B"/>
    <w:rPr>
      <w:b/>
      <w:bCs/>
    </w:rPr>
  </w:style>
  <w:style w:type="paragraph" w:styleId="Date">
    <w:name w:val="Date"/>
    <w:basedOn w:val="BodyText"/>
    <w:next w:val="BodyText"/>
    <w:link w:val="DateChar"/>
    <w:uiPriority w:val="99"/>
    <w:semiHidden/>
    <w:rsid w:val="003F0FE5"/>
  </w:style>
  <w:style w:type="character" w:customStyle="1" w:styleId="DateChar">
    <w:name w:val="Date Char"/>
    <w:basedOn w:val="DefaultParagraphFont"/>
    <w:link w:val="Date"/>
    <w:uiPriority w:val="99"/>
    <w:semiHidden/>
    <w:rsid w:val="009C2C9B"/>
  </w:style>
  <w:style w:type="paragraph" w:styleId="DocumentMap">
    <w:name w:val="Document Map"/>
    <w:basedOn w:val="BodyText"/>
    <w:link w:val="DocumentMapChar"/>
    <w:uiPriority w:val="99"/>
    <w:semiHidden/>
    <w:rsid w:val="003F0FE5"/>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9C2C9B"/>
    <w:rPr>
      <w:rFonts w:cs="Tahoma"/>
      <w:sz w:val="16"/>
      <w:szCs w:val="16"/>
    </w:rPr>
  </w:style>
  <w:style w:type="paragraph" w:styleId="E-mailSignature">
    <w:name w:val="E-mail Signature"/>
    <w:basedOn w:val="BodyText"/>
    <w:link w:val="E-mailSignatureChar"/>
    <w:uiPriority w:val="99"/>
    <w:semiHidden/>
    <w:rsid w:val="003F0FE5"/>
    <w:pPr>
      <w:spacing w:after="0" w:line="240" w:lineRule="auto"/>
      <w:jc w:val="left"/>
    </w:pPr>
  </w:style>
  <w:style w:type="character" w:customStyle="1" w:styleId="E-mailSignatureChar">
    <w:name w:val="E-mail Signature Char"/>
    <w:basedOn w:val="DefaultParagraphFont"/>
    <w:link w:val="E-mailSignature"/>
    <w:uiPriority w:val="99"/>
    <w:semiHidden/>
    <w:rsid w:val="009C2C9B"/>
  </w:style>
  <w:style w:type="character" w:styleId="EndnoteReference">
    <w:name w:val="endnote reference"/>
    <w:basedOn w:val="DefaultParagraphFont"/>
    <w:uiPriority w:val="99"/>
    <w:semiHidden/>
    <w:rsid w:val="003F0FE5"/>
    <w:rPr>
      <w:rFonts w:ascii="Arial" w:hAnsi="Arial"/>
      <w:sz w:val="20"/>
      <w:vertAlign w:val="superscript"/>
    </w:rPr>
  </w:style>
  <w:style w:type="paragraph" w:styleId="EndnoteText">
    <w:name w:val="endnote text"/>
    <w:basedOn w:val="BodyText"/>
    <w:link w:val="EndnoteTextChar"/>
    <w:uiPriority w:val="99"/>
    <w:semiHidden/>
    <w:rsid w:val="003F0FE5"/>
    <w:pPr>
      <w:spacing w:after="200" w:line="240" w:lineRule="auto"/>
      <w:ind w:left="709" w:hanging="709"/>
    </w:pPr>
    <w:rPr>
      <w:sz w:val="18"/>
    </w:rPr>
  </w:style>
  <w:style w:type="character" w:customStyle="1" w:styleId="EndnoteTextChar">
    <w:name w:val="Endnote Text Char"/>
    <w:basedOn w:val="DefaultParagraphFont"/>
    <w:link w:val="EndnoteText"/>
    <w:uiPriority w:val="99"/>
    <w:semiHidden/>
    <w:rsid w:val="009C2C9B"/>
    <w:rPr>
      <w:sz w:val="18"/>
    </w:rPr>
  </w:style>
  <w:style w:type="paragraph" w:styleId="EnvelopeAddress">
    <w:name w:val="envelope address"/>
    <w:basedOn w:val="BodyText"/>
    <w:uiPriority w:val="99"/>
    <w:semiHidden/>
    <w:rsid w:val="003F0FE5"/>
    <w:pPr>
      <w:framePr w:w="7920" w:h="1980" w:hRule="exact" w:hSpace="180" w:wrap="auto" w:hAnchor="page" w:xAlign="center" w:yAlign="bottom"/>
      <w:spacing w:after="0" w:line="240" w:lineRule="auto"/>
      <w:ind w:left="2880"/>
      <w:jc w:val="left"/>
    </w:pPr>
    <w:rPr>
      <w:rFonts w:eastAsiaTheme="majorEastAsia" w:cstheme="majorBidi"/>
      <w:szCs w:val="24"/>
    </w:rPr>
  </w:style>
  <w:style w:type="paragraph" w:styleId="EnvelopeReturn">
    <w:name w:val="envelope return"/>
    <w:basedOn w:val="BodyText"/>
    <w:uiPriority w:val="99"/>
    <w:semiHidden/>
    <w:rsid w:val="003F0FE5"/>
    <w:pPr>
      <w:spacing w:after="0" w:line="240" w:lineRule="auto"/>
      <w:jc w:val="left"/>
    </w:pPr>
    <w:rPr>
      <w:rFonts w:eastAsiaTheme="majorEastAsia" w:cstheme="majorBidi"/>
    </w:rPr>
  </w:style>
  <w:style w:type="character" w:styleId="FollowedHyperlink">
    <w:name w:val="FollowedHyperlink"/>
    <w:basedOn w:val="DefaultParagraphFont"/>
    <w:uiPriority w:val="99"/>
    <w:semiHidden/>
    <w:rsid w:val="003F0FE5"/>
    <w:rPr>
      <w:rFonts w:ascii="Arial" w:hAnsi="Arial"/>
      <w:color w:val="800080" w:themeColor="followedHyperlink"/>
      <w:sz w:val="20"/>
      <w:u w:val="single"/>
    </w:rPr>
  </w:style>
  <w:style w:type="paragraph" w:styleId="Footer">
    <w:name w:val="footer"/>
    <w:basedOn w:val="BodyText"/>
    <w:link w:val="FooterChar"/>
    <w:uiPriority w:val="99"/>
    <w:rsid w:val="003F0FE5"/>
    <w:pPr>
      <w:tabs>
        <w:tab w:val="center" w:pos="4536"/>
        <w:tab w:val="right" w:pos="9072"/>
      </w:tabs>
      <w:spacing w:after="0" w:line="240" w:lineRule="auto"/>
    </w:pPr>
    <w:rPr>
      <w:sz w:val="16"/>
    </w:rPr>
  </w:style>
  <w:style w:type="character" w:customStyle="1" w:styleId="FooterChar">
    <w:name w:val="Footer Char"/>
    <w:basedOn w:val="DefaultParagraphFont"/>
    <w:link w:val="Footer"/>
    <w:uiPriority w:val="99"/>
    <w:rsid w:val="009C2C9B"/>
    <w:rPr>
      <w:sz w:val="16"/>
    </w:rPr>
  </w:style>
  <w:style w:type="character" w:styleId="FootnoteReference">
    <w:name w:val="footnote reference"/>
    <w:basedOn w:val="DefaultParagraphFont"/>
    <w:semiHidden/>
    <w:rsid w:val="003F0FE5"/>
    <w:rPr>
      <w:rFonts w:ascii="Arial" w:hAnsi="Arial"/>
      <w:sz w:val="20"/>
      <w:vertAlign w:val="superscript"/>
    </w:rPr>
  </w:style>
  <w:style w:type="paragraph" w:styleId="FootnoteText">
    <w:name w:val="footnote text"/>
    <w:basedOn w:val="BodyText"/>
    <w:link w:val="FootnoteTextChar"/>
    <w:rsid w:val="003F0FE5"/>
    <w:pPr>
      <w:spacing w:after="200" w:line="240" w:lineRule="auto"/>
      <w:ind w:left="709" w:hanging="709"/>
    </w:pPr>
    <w:rPr>
      <w:sz w:val="18"/>
    </w:rPr>
  </w:style>
  <w:style w:type="character" w:customStyle="1" w:styleId="FootnoteTextChar">
    <w:name w:val="Footnote Text Char"/>
    <w:basedOn w:val="DefaultParagraphFont"/>
    <w:link w:val="FootnoteText"/>
    <w:rsid w:val="009C2C9B"/>
    <w:rPr>
      <w:sz w:val="18"/>
    </w:rPr>
  </w:style>
  <w:style w:type="paragraph" w:styleId="Header">
    <w:name w:val="header"/>
    <w:basedOn w:val="BodyText"/>
    <w:link w:val="HeaderChar"/>
    <w:uiPriority w:val="99"/>
    <w:rsid w:val="003F0FE5"/>
    <w:pPr>
      <w:tabs>
        <w:tab w:val="center" w:pos="4536"/>
        <w:tab w:val="right" w:pos="9072"/>
      </w:tabs>
      <w:spacing w:line="240" w:lineRule="auto"/>
    </w:pPr>
  </w:style>
  <w:style w:type="character" w:customStyle="1" w:styleId="HeaderChar">
    <w:name w:val="Header Char"/>
    <w:basedOn w:val="DefaultParagraphFont"/>
    <w:link w:val="Header"/>
    <w:uiPriority w:val="99"/>
    <w:rsid w:val="009C2C9B"/>
  </w:style>
  <w:style w:type="character" w:styleId="HTMLAcronym">
    <w:name w:val="HTML Acronym"/>
    <w:basedOn w:val="DefaultParagraphFont"/>
    <w:uiPriority w:val="99"/>
    <w:semiHidden/>
    <w:rsid w:val="003F0FE5"/>
    <w:rPr>
      <w:rFonts w:ascii="Arial" w:hAnsi="Arial"/>
      <w:sz w:val="20"/>
    </w:rPr>
  </w:style>
  <w:style w:type="paragraph" w:styleId="HTMLAddress">
    <w:name w:val="HTML Address"/>
    <w:basedOn w:val="BodyText"/>
    <w:link w:val="HTMLAddressChar"/>
    <w:uiPriority w:val="99"/>
    <w:semiHidden/>
    <w:rsid w:val="003F0FE5"/>
    <w:pPr>
      <w:spacing w:after="0"/>
    </w:pPr>
    <w:rPr>
      <w:i/>
      <w:iCs/>
    </w:rPr>
  </w:style>
  <w:style w:type="character" w:customStyle="1" w:styleId="HTMLAddressChar">
    <w:name w:val="HTML Address Char"/>
    <w:basedOn w:val="DefaultParagraphFont"/>
    <w:link w:val="HTMLAddress"/>
    <w:uiPriority w:val="99"/>
    <w:semiHidden/>
    <w:rsid w:val="009C2C9B"/>
    <w:rPr>
      <w:i/>
      <w:iCs/>
    </w:rPr>
  </w:style>
  <w:style w:type="character" w:styleId="HTMLCite">
    <w:name w:val="HTML Cite"/>
    <w:basedOn w:val="DefaultParagraphFont"/>
    <w:uiPriority w:val="99"/>
    <w:semiHidden/>
    <w:rsid w:val="003F0FE5"/>
    <w:rPr>
      <w:rFonts w:ascii="Arial" w:hAnsi="Arial"/>
      <w:i/>
      <w:iCs/>
      <w:sz w:val="20"/>
    </w:rPr>
  </w:style>
  <w:style w:type="character" w:styleId="HTMLCode">
    <w:name w:val="HTML Code"/>
    <w:basedOn w:val="DefaultParagraphFont"/>
    <w:uiPriority w:val="99"/>
    <w:semiHidden/>
    <w:rsid w:val="003F0FE5"/>
    <w:rPr>
      <w:rFonts w:ascii="Arial" w:hAnsi="Arial" w:cs="Consolas"/>
      <w:sz w:val="20"/>
      <w:szCs w:val="20"/>
    </w:rPr>
  </w:style>
  <w:style w:type="character" w:styleId="HTMLDefinition">
    <w:name w:val="HTML Definition"/>
    <w:basedOn w:val="DefaultParagraphFont"/>
    <w:uiPriority w:val="99"/>
    <w:semiHidden/>
    <w:rsid w:val="008267BD"/>
    <w:rPr>
      <w:rFonts w:ascii="Arial" w:hAnsi="Arial"/>
      <w:i/>
      <w:iCs/>
      <w:sz w:val="20"/>
    </w:rPr>
  </w:style>
  <w:style w:type="character" w:styleId="HTMLKeyboard">
    <w:name w:val="HTML Keyboard"/>
    <w:basedOn w:val="DefaultParagraphFont"/>
    <w:uiPriority w:val="99"/>
    <w:semiHidden/>
    <w:rsid w:val="008267BD"/>
    <w:rPr>
      <w:rFonts w:ascii="Arial" w:hAnsi="Arial" w:cs="Consolas"/>
      <w:sz w:val="20"/>
      <w:szCs w:val="20"/>
    </w:rPr>
  </w:style>
  <w:style w:type="paragraph" w:styleId="HTMLPreformatted">
    <w:name w:val="HTML Preformatted"/>
    <w:basedOn w:val="Normal"/>
    <w:link w:val="HTMLPreformattedChar"/>
    <w:uiPriority w:val="99"/>
    <w:semiHidden/>
    <w:rsid w:val="008267BD"/>
    <w:pPr>
      <w:spacing w:after="0" w:line="240" w:lineRule="auto"/>
    </w:pPr>
    <w:rPr>
      <w:rFonts w:cs="Consolas"/>
    </w:rPr>
  </w:style>
  <w:style w:type="character" w:customStyle="1" w:styleId="HTMLPreformattedChar">
    <w:name w:val="HTML Preformatted Char"/>
    <w:basedOn w:val="DefaultParagraphFont"/>
    <w:link w:val="HTMLPreformatted"/>
    <w:uiPriority w:val="99"/>
    <w:semiHidden/>
    <w:rsid w:val="009C2C9B"/>
    <w:rPr>
      <w:rFonts w:cs="Consolas"/>
    </w:rPr>
  </w:style>
  <w:style w:type="character" w:styleId="HTMLSample">
    <w:name w:val="HTML Sample"/>
    <w:basedOn w:val="DefaultParagraphFont"/>
    <w:uiPriority w:val="99"/>
    <w:semiHidden/>
    <w:rsid w:val="008267BD"/>
    <w:rPr>
      <w:rFonts w:ascii="Arial" w:hAnsi="Arial" w:cs="Consolas"/>
      <w:sz w:val="20"/>
      <w:szCs w:val="24"/>
    </w:rPr>
  </w:style>
  <w:style w:type="character" w:styleId="HTMLTypewriter">
    <w:name w:val="HTML Typewriter"/>
    <w:basedOn w:val="DefaultParagraphFont"/>
    <w:uiPriority w:val="99"/>
    <w:semiHidden/>
    <w:rsid w:val="008267BD"/>
    <w:rPr>
      <w:rFonts w:ascii="Arial" w:hAnsi="Arial" w:cs="Consolas"/>
      <w:sz w:val="20"/>
      <w:szCs w:val="20"/>
    </w:rPr>
  </w:style>
  <w:style w:type="character" w:styleId="HTMLVariable">
    <w:name w:val="HTML Variable"/>
    <w:basedOn w:val="DefaultParagraphFont"/>
    <w:uiPriority w:val="99"/>
    <w:semiHidden/>
    <w:rsid w:val="008267BD"/>
    <w:rPr>
      <w:rFonts w:ascii="Arial" w:hAnsi="Arial"/>
      <w:i/>
      <w:iCs/>
      <w:sz w:val="20"/>
    </w:rPr>
  </w:style>
  <w:style w:type="character" w:styleId="Hyperlink">
    <w:name w:val="Hyperlink"/>
    <w:basedOn w:val="DefaultParagraphFont"/>
    <w:uiPriority w:val="99"/>
    <w:rsid w:val="008267BD"/>
    <w:rPr>
      <w:rFonts w:ascii="Arial" w:hAnsi="Arial"/>
      <w:color w:val="0000FF" w:themeColor="hyperlink"/>
      <w:sz w:val="20"/>
      <w:u w:val="single"/>
    </w:rPr>
  </w:style>
  <w:style w:type="paragraph" w:styleId="Index1">
    <w:name w:val="index 1"/>
    <w:basedOn w:val="BodyText"/>
    <w:next w:val="BodyText"/>
    <w:autoRedefine/>
    <w:uiPriority w:val="99"/>
    <w:semiHidden/>
    <w:rsid w:val="008267BD"/>
    <w:pPr>
      <w:spacing w:after="0" w:line="240" w:lineRule="auto"/>
      <w:ind w:left="198" w:hanging="198"/>
    </w:pPr>
  </w:style>
  <w:style w:type="paragraph" w:styleId="Index2">
    <w:name w:val="index 2"/>
    <w:basedOn w:val="BodyText"/>
    <w:next w:val="BodyText"/>
    <w:autoRedefine/>
    <w:uiPriority w:val="99"/>
    <w:semiHidden/>
    <w:rsid w:val="008267BD"/>
    <w:pPr>
      <w:spacing w:after="0" w:line="240" w:lineRule="auto"/>
      <w:ind w:left="400" w:hanging="200"/>
    </w:pPr>
  </w:style>
  <w:style w:type="paragraph" w:styleId="Index3">
    <w:name w:val="index 3"/>
    <w:basedOn w:val="BodyText"/>
    <w:next w:val="BodyText"/>
    <w:autoRedefine/>
    <w:uiPriority w:val="99"/>
    <w:semiHidden/>
    <w:rsid w:val="008267BD"/>
    <w:pPr>
      <w:spacing w:after="0" w:line="240" w:lineRule="auto"/>
      <w:ind w:left="600" w:hanging="200"/>
    </w:pPr>
  </w:style>
  <w:style w:type="paragraph" w:styleId="Index4">
    <w:name w:val="index 4"/>
    <w:basedOn w:val="BodyText"/>
    <w:next w:val="BodyText"/>
    <w:autoRedefine/>
    <w:uiPriority w:val="99"/>
    <w:semiHidden/>
    <w:rsid w:val="008267BD"/>
    <w:pPr>
      <w:spacing w:after="0" w:line="240" w:lineRule="auto"/>
      <w:ind w:left="800" w:hanging="200"/>
    </w:pPr>
  </w:style>
  <w:style w:type="paragraph" w:styleId="Index5">
    <w:name w:val="index 5"/>
    <w:basedOn w:val="BodyText"/>
    <w:next w:val="BodyText"/>
    <w:autoRedefine/>
    <w:uiPriority w:val="99"/>
    <w:semiHidden/>
    <w:rsid w:val="008267BD"/>
    <w:pPr>
      <w:spacing w:after="0" w:line="240" w:lineRule="auto"/>
      <w:ind w:left="1000" w:hanging="200"/>
    </w:pPr>
  </w:style>
  <w:style w:type="paragraph" w:styleId="Index6">
    <w:name w:val="index 6"/>
    <w:basedOn w:val="BodyText"/>
    <w:next w:val="BodyText"/>
    <w:autoRedefine/>
    <w:uiPriority w:val="99"/>
    <w:semiHidden/>
    <w:rsid w:val="001B78DF"/>
    <w:pPr>
      <w:spacing w:after="0" w:line="240" w:lineRule="auto"/>
      <w:ind w:left="1200" w:hanging="200"/>
    </w:pPr>
  </w:style>
  <w:style w:type="paragraph" w:styleId="Index7">
    <w:name w:val="index 7"/>
    <w:basedOn w:val="BodyText"/>
    <w:next w:val="BodyText"/>
    <w:autoRedefine/>
    <w:uiPriority w:val="99"/>
    <w:semiHidden/>
    <w:rsid w:val="008267BD"/>
    <w:pPr>
      <w:spacing w:after="0" w:line="240" w:lineRule="auto"/>
      <w:ind w:left="1400" w:hanging="200"/>
    </w:pPr>
  </w:style>
  <w:style w:type="paragraph" w:styleId="Index8">
    <w:name w:val="index 8"/>
    <w:basedOn w:val="BodyText"/>
    <w:next w:val="BodyText"/>
    <w:autoRedefine/>
    <w:uiPriority w:val="99"/>
    <w:semiHidden/>
    <w:rsid w:val="008267BD"/>
    <w:pPr>
      <w:spacing w:after="0" w:line="240" w:lineRule="auto"/>
      <w:ind w:left="1600" w:hanging="200"/>
    </w:pPr>
  </w:style>
  <w:style w:type="paragraph" w:styleId="Index9">
    <w:name w:val="index 9"/>
    <w:basedOn w:val="BodyText"/>
    <w:next w:val="BodyText"/>
    <w:autoRedefine/>
    <w:uiPriority w:val="99"/>
    <w:semiHidden/>
    <w:rsid w:val="008267BD"/>
    <w:pPr>
      <w:spacing w:after="0" w:line="240" w:lineRule="auto"/>
      <w:ind w:left="1800" w:hanging="200"/>
    </w:pPr>
  </w:style>
  <w:style w:type="paragraph" w:styleId="IndexHeading">
    <w:name w:val="index heading"/>
    <w:basedOn w:val="BodyText"/>
    <w:next w:val="Index1"/>
    <w:uiPriority w:val="99"/>
    <w:semiHidden/>
    <w:rsid w:val="008267BD"/>
    <w:rPr>
      <w:rFonts w:eastAsiaTheme="majorEastAsia" w:cstheme="majorBidi"/>
      <w:b/>
      <w:bCs/>
    </w:rPr>
  </w:style>
  <w:style w:type="character" w:styleId="LineNumber">
    <w:name w:val="line number"/>
    <w:basedOn w:val="DefaultParagraphFont"/>
    <w:uiPriority w:val="99"/>
    <w:semiHidden/>
    <w:rsid w:val="008267BD"/>
    <w:rPr>
      <w:rFonts w:ascii="Arial" w:hAnsi="Arial"/>
      <w:sz w:val="20"/>
    </w:rPr>
  </w:style>
  <w:style w:type="paragraph" w:styleId="List">
    <w:name w:val="List"/>
    <w:basedOn w:val="BodyText"/>
    <w:uiPriority w:val="99"/>
    <w:semiHidden/>
    <w:rsid w:val="008267BD"/>
    <w:pPr>
      <w:ind w:left="283" w:hanging="283"/>
      <w:contextualSpacing/>
    </w:pPr>
  </w:style>
  <w:style w:type="paragraph" w:styleId="List2">
    <w:name w:val="List 2"/>
    <w:basedOn w:val="BodyText"/>
    <w:uiPriority w:val="99"/>
    <w:semiHidden/>
    <w:rsid w:val="008267BD"/>
    <w:pPr>
      <w:ind w:left="566" w:hanging="283"/>
      <w:contextualSpacing/>
    </w:pPr>
  </w:style>
  <w:style w:type="paragraph" w:styleId="List3">
    <w:name w:val="List 3"/>
    <w:basedOn w:val="BodyText"/>
    <w:uiPriority w:val="99"/>
    <w:semiHidden/>
    <w:rsid w:val="008267BD"/>
    <w:pPr>
      <w:ind w:left="849" w:hanging="283"/>
      <w:contextualSpacing/>
    </w:pPr>
  </w:style>
  <w:style w:type="paragraph" w:styleId="List4">
    <w:name w:val="List 4"/>
    <w:basedOn w:val="BodyText"/>
    <w:uiPriority w:val="99"/>
    <w:semiHidden/>
    <w:rsid w:val="008267BD"/>
    <w:pPr>
      <w:ind w:left="1132" w:hanging="283"/>
      <w:contextualSpacing/>
    </w:pPr>
  </w:style>
  <w:style w:type="paragraph" w:styleId="List5">
    <w:name w:val="List 5"/>
    <w:basedOn w:val="BodyText"/>
    <w:uiPriority w:val="99"/>
    <w:semiHidden/>
    <w:rsid w:val="008267BD"/>
    <w:pPr>
      <w:ind w:left="1415" w:hanging="283"/>
      <w:contextualSpacing/>
    </w:pPr>
  </w:style>
  <w:style w:type="paragraph" w:styleId="ListBullet">
    <w:name w:val="List Bullet"/>
    <w:basedOn w:val="BodyText"/>
    <w:uiPriority w:val="99"/>
    <w:semiHidden/>
    <w:rsid w:val="008267BD"/>
    <w:pPr>
      <w:numPr>
        <w:numId w:val="1"/>
      </w:numPr>
      <w:contextualSpacing/>
    </w:pPr>
  </w:style>
  <w:style w:type="paragraph" w:styleId="ListBullet2">
    <w:name w:val="List Bullet 2"/>
    <w:basedOn w:val="BodyText"/>
    <w:uiPriority w:val="99"/>
    <w:semiHidden/>
    <w:rsid w:val="008267BD"/>
    <w:pPr>
      <w:numPr>
        <w:numId w:val="2"/>
      </w:numPr>
      <w:contextualSpacing/>
    </w:pPr>
  </w:style>
  <w:style w:type="paragraph" w:styleId="ListBullet3">
    <w:name w:val="List Bullet 3"/>
    <w:basedOn w:val="BodyText"/>
    <w:uiPriority w:val="99"/>
    <w:semiHidden/>
    <w:rsid w:val="008267BD"/>
    <w:pPr>
      <w:numPr>
        <w:numId w:val="3"/>
      </w:numPr>
      <w:contextualSpacing/>
    </w:pPr>
  </w:style>
  <w:style w:type="paragraph" w:styleId="ListBullet4">
    <w:name w:val="List Bullet 4"/>
    <w:basedOn w:val="BodyText"/>
    <w:uiPriority w:val="99"/>
    <w:semiHidden/>
    <w:rsid w:val="008267BD"/>
    <w:pPr>
      <w:numPr>
        <w:numId w:val="4"/>
      </w:numPr>
      <w:contextualSpacing/>
    </w:pPr>
  </w:style>
  <w:style w:type="paragraph" w:styleId="ListBullet5">
    <w:name w:val="List Bullet 5"/>
    <w:basedOn w:val="BodyText"/>
    <w:uiPriority w:val="99"/>
    <w:semiHidden/>
    <w:rsid w:val="008267BD"/>
    <w:pPr>
      <w:numPr>
        <w:numId w:val="5"/>
      </w:numPr>
      <w:contextualSpacing/>
    </w:pPr>
  </w:style>
  <w:style w:type="paragraph" w:styleId="ListContinue">
    <w:name w:val="List Continue"/>
    <w:basedOn w:val="BodyText"/>
    <w:uiPriority w:val="99"/>
    <w:semiHidden/>
    <w:rsid w:val="008267BD"/>
    <w:pPr>
      <w:spacing w:after="120"/>
      <w:ind w:left="283"/>
      <w:contextualSpacing/>
    </w:pPr>
  </w:style>
  <w:style w:type="paragraph" w:styleId="ListContinue2">
    <w:name w:val="List Continue 2"/>
    <w:basedOn w:val="BodyText"/>
    <w:uiPriority w:val="99"/>
    <w:semiHidden/>
    <w:rsid w:val="008267BD"/>
    <w:pPr>
      <w:spacing w:after="120"/>
      <w:ind w:left="566"/>
      <w:contextualSpacing/>
    </w:pPr>
  </w:style>
  <w:style w:type="paragraph" w:styleId="ListContinue3">
    <w:name w:val="List Continue 3"/>
    <w:basedOn w:val="BodyText"/>
    <w:uiPriority w:val="99"/>
    <w:semiHidden/>
    <w:rsid w:val="008267BD"/>
    <w:pPr>
      <w:spacing w:after="120"/>
      <w:ind w:left="849"/>
      <w:contextualSpacing/>
    </w:pPr>
  </w:style>
  <w:style w:type="paragraph" w:styleId="ListContinue4">
    <w:name w:val="List Continue 4"/>
    <w:basedOn w:val="BodyText"/>
    <w:uiPriority w:val="99"/>
    <w:semiHidden/>
    <w:rsid w:val="008267BD"/>
    <w:pPr>
      <w:spacing w:after="120"/>
      <w:ind w:left="1132"/>
      <w:contextualSpacing/>
    </w:pPr>
  </w:style>
  <w:style w:type="paragraph" w:styleId="ListContinue5">
    <w:name w:val="List Continue 5"/>
    <w:basedOn w:val="BodyText"/>
    <w:uiPriority w:val="99"/>
    <w:semiHidden/>
    <w:rsid w:val="008267BD"/>
    <w:pPr>
      <w:spacing w:after="120"/>
      <w:ind w:left="1415"/>
      <w:contextualSpacing/>
    </w:pPr>
  </w:style>
  <w:style w:type="paragraph" w:styleId="ListNumber">
    <w:name w:val="List Number"/>
    <w:basedOn w:val="BodyText"/>
    <w:uiPriority w:val="99"/>
    <w:semiHidden/>
    <w:rsid w:val="008267BD"/>
    <w:pPr>
      <w:numPr>
        <w:numId w:val="6"/>
      </w:numPr>
      <w:contextualSpacing/>
    </w:pPr>
  </w:style>
  <w:style w:type="paragraph" w:styleId="ListNumber2">
    <w:name w:val="List Number 2"/>
    <w:basedOn w:val="BodyText"/>
    <w:uiPriority w:val="99"/>
    <w:semiHidden/>
    <w:rsid w:val="008267BD"/>
    <w:pPr>
      <w:numPr>
        <w:numId w:val="7"/>
      </w:numPr>
      <w:contextualSpacing/>
    </w:pPr>
  </w:style>
  <w:style w:type="paragraph" w:styleId="ListNumber3">
    <w:name w:val="List Number 3"/>
    <w:basedOn w:val="BodyText"/>
    <w:uiPriority w:val="99"/>
    <w:semiHidden/>
    <w:rsid w:val="008267BD"/>
    <w:pPr>
      <w:numPr>
        <w:numId w:val="8"/>
      </w:numPr>
      <w:contextualSpacing/>
    </w:pPr>
  </w:style>
  <w:style w:type="paragraph" w:styleId="ListNumber4">
    <w:name w:val="List Number 4"/>
    <w:basedOn w:val="BodyText"/>
    <w:uiPriority w:val="99"/>
    <w:semiHidden/>
    <w:rsid w:val="008267BD"/>
    <w:pPr>
      <w:numPr>
        <w:numId w:val="9"/>
      </w:numPr>
      <w:contextualSpacing/>
    </w:pPr>
  </w:style>
  <w:style w:type="paragraph" w:styleId="ListNumber5">
    <w:name w:val="List Number 5"/>
    <w:basedOn w:val="BodyText"/>
    <w:uiPriority w:val="99"/>
    <w:semiHidden/>
    <w:rsid w:val="008267BD"/>
    <w:pPr>
      <w:numPr>
        <w:numId w:val="10"/>
      </w:numPr>
      <w:contextualSpacing/>
    </w:pPr>
  </w:style>
  <w:style w:type="paragraph" w:styleId="MacroText">
    <w:name w:val="macro"/>
    <w:basedOn w:val="BodyText"/>
    <w:link w:val="MacroTextChar"/>
    <w:uiPriority w:val="99"/>
    <w:semiHidden/>
    <w:rsid w:val="008267BD"/>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s>
      <w:spacing w:after="0"/>
    </w:pPr>
    <w:rPr>
      <w:rFonts w:ascii="Courier New" w:hAnsi="Courier New" w:cs="Consolas"/>
    </w:rPr>
  </w:style>
  <w:style w:type="character" w:customStyle="1" w:styleId="MacroTextChar">
    <w:name w:val="Macro Text Char"/>
    <w:basedOn w:val="DefaultParagraphFont"/>
    <w:link w:val="MacroText"/>
    <w:uiPriority w:val="99"/>
    <w:semiHidden/>
    <w:rsid w:val="009C2C9B"/>
    <w:rPr>
      <w:rFonts w:ascii="Courier New" w:hAnsi="Courier New" w:cs="Consolas"/>
    </w:rPr>
  </w:style>
  <w:style w:type="paragraph" w:styleId="MessageHeader">
    <w:name w:val="Message Header"/>
    <w:basedOn w:val="BodyText"/>
    <w:link w:val="MessageHeaderChar"/>
    <w:uiPriority w:val="99"/>
    <w:semiHidden/>
    <w:rsid w:val="008267B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Cs w:val="24"/>
    </w:rPr>
  </w:style>
  <w:style w:type="character" w:customStyle="1" w:styleId="MessageHeaderChar">
    <w:name w:val="Message Header Char"/>
    <w:basedOn w:val="DefaultParagraphFont"/>
    <w:link w:val="MessageHeader"/>
    <w:uiPriority w:val="99"/>
    <w:semiHidden/>
    <w:rsid w:val="009C2C9B"/>
    <w:rPr>
      <w:rFonts w:eastAsiaTheme="majorEastAsia" w:cstheme="majorBidi"/>
      <w:szCs w:val="24"/>
      <w:shd w:val="pct20" w:color="auto" w:fill="auto"/>
    </w:rPr>
  </w:style>
  <w:style w:type="paragraph" w:styleId="NormalWeb">
    <w:name w:val="Normal (Web)"/>
    <w:basedOn w:val="BodyText"/>
    <w:uiPriority w:val="99"/>
    <w:rsid w:val="001B78DF"/>
    <w:rPr>
      <w:rFonts w:cs="Times New Roman"/>
      <w:szCs w:val="24"/>
    </w:rPr>
  </w:style>
  <w:style w:type="paragraph" w:styleId="NormalIndent">
    <w:name w:val="Normal Indent"/>
    <w:basedOn w:val="Normal"/>
    <w:uiPriority w:val="99"/>
    <w:semiHidden/>
    <w:rsid w:val="008267BD"/>
    <w:pPr>
      <w:ind w:left="720"/>
    </w:pPr>
  </w:style>
  <w:style w:type="paragraph" w:styleId="NoteHeading">
    <w:name w:val="Note Heading"/>
    <w:basedOn w:val="BodyText"/>
    <w:next w:val="BodyText"/>
    <w:link w:val="NoteHeadingChar"/>
    <w:uiPriority w:val="99"/>
    <w:semiHidden/>
    <w:rsid w:val="008267BD"/>
    <w:pPr>
      <w:spacing w:after="0" w:line="240" w:lineRule="auto"/>
    </w:pPr>
  </w:style>
  <w:style w:type="character" w:customStyle="1" w:styleId="NoteHeadingChar">
    <w:name w:val="Note Heading Char"/>
    <w:basedOn w:val="DefaultParagraphFont"/>
    <w:link w:val="NoteHeading"/>
    <w:uiPriority w:val="99"/>
    <w:semiHidden/>
    <w:rsid w:val="009C2C9B"/>
  </w:style>
  <w:style w:type="character" w:styleId="PageNumber">
    <w:name w:val="page number"/>
    <w:basedOn w:val="DefaultParagraphFont"/>
    <w:uiPriority w:val="99"/>
    <w:semiHidden/>
    <w:rsid w:val="008267BD"/>
    <w:rPr>
      <w:rFonts w:ascii="Arial" w:hAnsi="Arial"/>
      <w:sz w:val="20"/>
    </w:rPr>
  </w:style>
  <w:style w:type="character" w:styleId="PlaceholderText">
    <w:name w:val="Placeholder Text"/>
    <w:basedOn w:val="DefaultParagraphFont"/>
    <w:uiPriority w:val="99"/>
    <w:semiHidden/>
    <w:rsid w:val="008267BD"/>
    <w:rPr>
      <w:rFonts w:ascii="Arial" w:hAnsi="Arial"/>
      <w:color w:val="808080"/>
      <w:sz w:val="20"/>
    </w:rPr>
  </w:style>
  <w:style w:type="paragraph" w:styleId="PlainText">
    <w:name w:val="Plain Text"/>
    <w:basedOn w:val="BodyText"/>
    <w:link w:val="PlainTextChar"/>
    <w:uiPriority w:val="99"/>
    <w:semiHidden/>
    <w:rsid w:val="008267BD"/>
    <w:pPr>
      <w:spacing w:after="0" w:line="240" w:lineRule="auto"/>
    </w:pPr>
    <w:rPr>
      <w:rFonts w:ascii="Courier New" w:hAnsi="Courier New" w:cs="Consolas"/>
      <w:szCs w:val="21"/>
    </w:rPr>
  </w:style>
  <w:style w:type="character" w:customStyle="1" w:styleId="PlainTextChar">
    <w:name w:val="Plain Text Char"/>
    <w:basedOn w:val="DefaultParagraphFont"/>
    <w:link w:val="PlainText"/>
    <w:uiPriority w:val="99"/>
    <w:semiHidden/>
    <w:rsid w:val="009C2C9B"/>
    <w:rPr>
      <w:rFonts w:ascii="Courier New" w:hAnsi="Courier New" w:cs="Consolas"/>
      <w:szCs w:val="21"/>
    </w:rPr>
  </w:style>
  <w:style w:type="paragraph" w:styleId="Salutation">
    <w:name w:val="Salutation"/>
    <w:basedOn w:val="BodyText"/>
    <w:next w:val="BodyText"/>
    <w:link w:val="SalutationChar"/>
    <w:uiPriority w:val="99"/>
    <w:semiHidden/>
    <w:rsid w:val="008267BD"/>
    <w:pPr>
      <w:jc w:val="left"/>
    </w:pPr>
  </w:style>
  <w:style w:type="character" w:customStyle="1" w:styleId="SalutationChar">
    <w:name w:val="Salutation Char"/>
    <w:basedOn w:val="DefaultParagraphFont"/>
    <w:link w:val="Salutation"/>
    <w:uiPriority w:val="99"/>
    <w:semiHidden/>
    <w:rsid w:val="009C2C9B"/>
  </w:style>
  <w:style w:type="paragraph" w:styleId="Signature">
    <w:name w:val="Signature"/>
    <w:basedOn w:val="BodyText"/>
    <w:link w:val="SignatureChar"/>
    <w:uiPriority w:val="99"/>
    <w:semiHidden/>
    <w:rsid w:val="008267BD"/>
    <w:pPr>
      <w:spacing w:after="0" w:line="240" w:lineRule="auto"/>
      <w:ind w:left="4253"/>
    </w:pPr>
  </w:style>
  <w:style w:type="character" w:customStyle="1" w:styleId="SignatureChar">
    <w:name w:val="Signature Char"/>
    <w:basedOn w:val="DefaultParagraphFont"/>
    <w:link w:val="Signature"/>
    <w:uiPriority w:val="99"/>
    <w:semiHidden/>
    <w:rsid w:val="009C2C9B"/>
  </w:style>
  <w:style w:type="paragraph" w:styleId="TableofAuthorities">
    <w:name w:val="table of authorities"/>
    <w:basedOn w:val="BodyText"/>
    <w:next w:val="BodyText"/>
    <w:uiPriority w:val="99"/>
    <w:semiHidden/>
    <w:unhideWhenUsed/>
    <w:rsid w:val="008267BD"/>
    <w:pPr>
      <w:spacing w:after="0"/>
      <w:ind w:left="198" w:hanging="198"/>
    </w:pPr>
  </w:style>
  <w:style w:type="paragraph" w:styleId="TableofFigures">
    <w:name w:val="table of figures"/>
    <w:basedOn w:val="BodyText"/>
    <w:next w:val="BodyText"/>
    <w:uiPriority w:val="99"/>
    <w:semiHidden/>
    <w:unhideWhenUsed/>
    <w:rsid w:val="008267BD"/>
    <w:pPr>
      <w:spacing w:after="0"/>
    </w:pPr>
  </w:style>
  <w:style w:type="paragraph" w:styleId="TOAHeading">
    <w:name w:val="toa heading"/>
    <w:basedOn w:val="BodyText"/>
    <w:next w:val="Normal"/>
    <w:uiPriority w:val="99"/>
    <w:semiHidden/>
    <w:unhideWhenUsed/>
    <w:rsid w:val="008267BD"/>
    <w:pPr>
      <w:jc w:val="center"/>
    </w:pPr>
    <w:rPr>
      <w:rFonts w:eastAsiaTheme="majorEastAsia" w:cstheme="majorBidi"/>
      <w:b/>
      <w:bCs/>
      <w:szCs w:val="24"/>
    </w:rPr>
  </w:style>
  <w:style w:type="paragraph" w:customStyle="1" w:styleId="AnnexSubHead">
    <w:name w:val="Annex SubHead"/>
    <w:basedOn w:val="BodyText"/>
    <w:next w:val="BodyText"/>
    <w:link w:val="AnnexSubHeadChar"/>
    <w:uiPriority w:val="99"/>
    <w:semiHidden/>
    <w:unhideWhenUsed/>
    <w:rsid w:val="00EC0BED"/>
    <w:pPr>
      <w:keepNext/>
      <w:keepLines/>
      <w:numPr>
        <w:ilvl w:val="1"/>
        <w:numId w:val="13"/>
      </w:numPr>
      <w:jc w:val="center"/>
    </w:pPr>
    <w:rPr>
      <w:rFonts w:asciiTheme="majorHAnsi" w:hAnsiTheme="majorHAnsi" w:cstheme="majorHAnsi"/>
      <w:b/>
    </w:rPr>
  </w:style>
  <w:style w:type="character" w:customStyle="1" w:styleId="AnnexSubHeadChar">
    <w:name w:val="Annex SubHead Char"/>
    <w:basedOn w:val="BodyTextChar"/>
    <w:link w:val="AnnexSubHead"/>
    <w:uiPriority w:val="99"/>
    <w:semiHidden/>
    <w:rsid w:val="000A5814"/>
    <w:rPr>
      <w:rFonts w:asciiTheme="majorHAnsi" w:hAnsiTheme="majorHAnsi" w:cstheme="majorHAnsi"/>
      <w:b/>
      <w:lang w:val="en-GB"/>
    </w:rPr>
  </w:style>
  <w:style w:type="paragraph" w:customStyle="1" w:styleId="AnnexNumHead">
    <w:name w:val="Annex NumHead"/>
    <w:basedOn w:val="BodyText"/>
    <w:next w:val="AnnexSubHead"/>
    <w:link w:val="AnnexNumHeadChar"/>
    <w:uiPriority w:val="99"/>
    <w:semiHidden/>
    <w:unhideWhenUsed/>
    <w:rsid w:val="00EC0BED"/>
    <w:pPr>
      <w:keepNext/>
      <w:keepLines/>
      <w:numPr>
        <w:numId w:val="13"/>
      </w:numPr>
      <w:jc w:val="center"/>
    </w:pPr>
    <w:rPr>
      <w:b/>
      <w:sz w:val="22"/>
    </w:rPr>
  </w:style>
  <w:style w:type="character" w:customStyle="1" w:styleId="AnnexNumHeadChar">
    <w:name w:val="Annex NumHead Char"/>
    <w:basedOn w:val="BodyTextChar"/>
    <w:link w:val="AnnexNumHead"/>
    <w:uiPriority w:val="99"/>
    <w:semiHidden/>
    <w:rsid w:val="000A5814"/>
    <w:rPr>
      <w:b/>
      <w:sz w:val="22"/>
      <w:lang w:val="en-GB"/>
    </w:rPr>
  </w:style>
  <w:style w:type="paragraph" w:customStyle="1" w:styleId="AppendixSubHead">
    <w:name w:val="Appendix SubHead"/>
    <w:basedOn w:val="BodyText"/>
    <w:next w:val="BodyText"/>
    <w:link w:val="AppendixSubHeadChar"/>
    <w:uiPriority w:val="99"/>
    <w:semiHidden/>
    <w:unhideWhenUsed/>
    <w:rsid w:val="00EC0BED"/>
    <w:pPr>
      <w:keepNext/>
      <w:keepLines/>
      <w:numPr>
        <w:ilvl w:val="1"/>
        <w:numId w:val="14"/>
      </w:numPr>
      <w:jc w:val="center"/>
    </w:pPr>
    <w:rPr>
      <w:rFonts w:asciiTheme="majorHAnsi" w:hAnsiTheme="majorHAnsi" w:cstheme="majorHAnsi"/>
      <w:b/>
    </w:rPr>
  </w:style>
  <w:style w:type="character" w:customStyle="1" w:styleId="AppendixSubHeadChar">
    <w:name w:val="Appendix SubHead Char"/>
    <w:basedOn w:val="BodyTextChar"/>
    <w:link w:val="AppendixSubHead"/>
    <w:uiPriority w:val="99"/>
    <w:semiHidden/>
    <w:rsid w:val="000A5814"/>
    <w:rPr>
      <w:rFonts w:asciiTheme="majorHAnsi" w:hAnsiTheme="majorHAnsi" w:cstheme="majorHAnsi"/>
      <w:b/>
      <w:lang w:val="en-GB"/>
    </w:rPr>
  </w:style>
  <w:style w:type="paragraph" w:customStyle="1" w:styleId="AppendixNumHead">
    <w:name w:val="Appendix NumHead"/>
    <w:basedOn w:val="BodyText"/>
    <w:next w:val="AppendixSubHead"/>
    <w:link w:val="AppendixNumHeadChar"/>
    <w:uiPriority w:val="99"/>
    <w:semiHidden/>
    <w:unhideWhenUsed/>
    <w:rsid w:val="0060334D"/>
    <w:pPr>
      <w:keepNext/>
      <w:keepLines/>
      <w:numPr>
        <w:numId w:val="14"/>
      </w:numPr>
      <w:jc w:val="center"/>
    </w:pPr>
    <w:rPr>
      <w:b/>
      <w:sz w:val="22"/>
    </w:rPr>
  </w:style>
  <w:style w:type="character" w:customStyle="1" w:styleId="AppendixNumHeadChar">
    <w:name w:val="Appendix NumHead Char"/>
    <w:basedOn w:val="BodyTextChar"/>
    <w:link w:val="AppendixNumHead"/>
    <w:uiPriority w:val="99"/>
    <w:semiHidden/>
    <w:rsid w:val="000A5814"/>
    <w:rPr>
      <w:b/>
      <w:sz w:val="22"/>
      <w:lang w:val="en-GB"/>
    </w:rPr>
  </w:style>
  <w:style w:type="paragraph" w:customStyle="1" w:styleId="ArticleSubheading">
    <w:name w:val="Article Subheading"/>
    <w:basedOn w:val="BodyText"/>
    <w:next w:val="BodyText"/>
    <w:link w:val="ArticleSubheadingChar"/>
    <w:uiPriority w:val="99"/>
    <w:semiHidden/>
    <w:unhideWhenUsed/>
    <w:rsid w:val="0060334D"/>
    <w:pPr>
      <w:keepNext/>
      <w:keepLines/>
      <w:jc w:val="center"/>
    </w:pPr>
    <w:rPr>
      <w:rFonts w:asciiTheme="majorHAnsi" w:hAnsiTheme="majorHAnsi" w:cstheme="majorHAnsi"/>
      <w:b/>
    </w:rPr>
  </w:style>
  <w:style w:type="character" w:customStyle="1" w:styleId="ArticleSubheadingChar">
    <w:name w:val="Article Subheading Char"/>
    <w:basedOn w:val="BodyTextChar"/>
    <w:link w:val="ArticleSubheading"/>
    <w:uiPriority w:val="80"/>
    <w:rsid w:val="000A5814"/>
    <w:rPr>
      <w:rFonts w:asciiTheme="majorHAnsi" w:hAnsiTheme="majorHAnsi" w:cstheme="majorHAnsi"/>
      <w:b/>
      <w:lang w:val="en-GB"/>
    </w:rPr>
  </w:style>
  <w:style w:type="paragraph" w:customStyle="1" w:styleId="Article-Level1">
    <w:name w:val="Article - Level 1"/>
    <w:basedOn w:val="BodyText"/>
    <w:next w:val="ArticleSubheading"/>
    <w:link w:val="Article-Level1Char"/>
    <w:uiPriority w:val="99"/>
    <w:semiHidden/>
    <w:unhideWhenUsed/>
    <w:rsid w:val="003E0D28"/>
    <w:pPr>
      <w:keepNext/>
      <w:keepLines/>
      <w:numPr>
        <w:numId w:val="27"/>
      </w:numPr>
      <w:jc w:val="center"/>
    </w:pPr>
    <w:rPr>
      <w:b/>
      <w:sz w:val="22"/>
    </w:rPr>
  </w:style>
  <w:style w:type="character" w:customStyle="1" w:styleId="Article-Level1Char">
    <w:name w:val="Article - Level 1 Char"/>
    <w:basedOn w:val="BodyTextChar"/>
    <w:link w:val="Article-Level1"/>
    <w:uiPriority w:val="99"/>
    <w:semiHidden/>
    <w:rsid w:val="003E0D28"/>
    <w:rPr>
      <w:b/>
      <w:sz w:val="22"/>
      <w:lang w:val="en-GB"/>
    </w:rPr>
  </w:style>
  <w:style w:type="paragraph" w:customStyle="1" w:styleId="Body1">
    <w:name w:val="Body 1"/>
    <w:basedOn w:val="BodyText"/>
    <w:link w:val="Body1Char"/>
    <w:uiPriority w:val="2"/>
    <w:unhideWhenUsed/>
    <w:qFormat/>
    <w:rsid w:val="003E0D28"/>
    <w:pPr>
      <w:ind w:left="709"/>
    </w:pPr>
  </w:style>
  <w:style w:type="character" w:customStyle="1" w:styleId="Body1Char">
    <w:name w:val="Body 1 Char"/>
    <w:basedOn w:val="BodyTextChar"/>
    <w:link w:val="Body1"/>
    <w:uiPriority w:val="4"/>
    <w:rsid w:val="003E0D28"/>
    <w:rPr>
      <w:lang w:val="en-GB"/>
    </w:rPr>
  </w:style>
  <w:style w:type="paragraph" w:customStyle="1" w:styleId="Body2">
    <w:name w:val="Body 2"/>
    <w:basedOn w:val="BodyText"/>
    <w:link w:val="Body2Char"/>
    <w:uiPriority w:val="99"/>
    <w:semiHidden/>
    <w:unhideWhenUsed/>
    <w:qFormat/>
    <w:rsid w:val="003E0D28"/>
    <w:pPr>
      <w:ind w:left="709"/>
    </w:pPr>
  </w:style>
  <w:style w:type="character" w:customStyle="1" w:styleId="Body2Char">
    <w:name w:val="Body 2 Char"/>
    <w:basedOn w:val="BodyTextChar"/>
    <w:link w:val="Body2"/>
    <w:uiPriority w:val="6"/>
    <w:rsid w:val="003E0D28"/>
    <w:rPr>
      <w:lang w:val="en-GB"/>
    </w:rPr>
  </w:style>
  <w:style w:type="paragraph" w:customStyle="1" w:styleId="Body3">
    <w:name w:val="Body 3"/>
    <w:basedOn w:val="BodyText"/>
    <w:link w:val="Body3Char"/>
    <w:uiPriority w:val="4"/>
    <w:unhideWhenUsed/>
    <w:qFormat/>
    <w:rsid w:val="003E0D28"/>
    <w:pPr>
      <w:ind w:left="709"/>
    </w:pPr>
  </w:style>
  <w:style w:type="character" w:customStyle="1" w:styleId="Body3Char">
    <w:name w:val="Body 3 Char"/>
    <w:basedOn w:val="BodyTextChar"/>
    <w:link w:val="Body3"/>
    <w:uiPriority w:val="8"/>
    <w:rsid w:val="003E0D28"/>
    <w:rPr>
      <w:lang w:val="en-GB"/>
    </w:rPr>
  </w:style>
  <w:style w:type="paragraph" w:customStyle="1" w:styleId="Body4">
    <w:name w:val="Body 4"/>
    <w:basedOn w:val="BodyText"/>
    <w:link w:val="Body4Char"/>
    <w:uiPriority w:val="6"/>
    <w:unhideWhenUsed/>
    <w:qFormat/>
    <w:rsid w:val="003E0D28"/>
    <w:pPr>
      <w:ind w:left="709"/>
    </w:pPr>
  </w:style>
  <w:style w:type="character" w:customStyle="1" w:styleId="Body4Char">
    <w:name w:val="Body 4 Char"/>
    <w:basedOn w:val="BodyTextChar"/>
    <w:link w:val="Body4"/>
    <w:uiPriority w:val="10"/>
    <w:rsid w:val="003E0D28"/>
    <w:rPr>
      <w:lang w:val="en-GB"/>
    </w:rPr>
  </w:style>
  <w:style w:type="paragraph" w:customStyle="1" w:styleId="Body5">
    <w:name w:val="Body 5"/>
    <w:basedOn w:val="BodyText"/>
    <w:link w:val="Body5Char"/>
    <w:uiPriority w:val="8"/>
    <w:unhideWhenUsed/>
    <w:qFormat/>
    <w:rsid w:val="003E0D28"/>
    <w:pPr>
      <w:ind w:left="709"/>
    </w:pPr>
  </w:style>
  <w:style w:type="character" w:customStyle="1" w:styleId="Body5Char">
    <w:name w:val="Body 5 Char"/>
    <w:basedOn w:val="BodyTextChar"/>
    <w:link w:val="Body5"/>
    <w:uiPriority w:val="12"/>
    <w:rsid w:val="003E0D28"/>
    <w:rPr>
      <w:lang w:val="en-GB"/>
    </w:rPr>
  </w:style>
  <w:style w:type="paragraph" w:customStyle="1" w:styleId="Body6">
    <w:name w:val="Body 6"/>
    <w:basedOn w:val="BodyText"/>
    <w:link w:val="Body6Char"/>
    <w:uiPriority w:val="10"/>
    <w:unhideWhenUsed/>
    <w:qFormat/>
    <w:rsid w:val="003E0D28"/>
    <w:pPr>
      <w:ind w:left="709"/>
    </w:pPr>
  </w:style>
  <w:style w:type="character" w:customStyle="1" w:styleId="Body6Char">
    <w:name w:val="Body 6 Char"/>
    <w:basedOn w:val="BodyTextChar"/>
    <w:link w:val="Body6"/>
    <w:uiPriority w:val="14"/>
    <w:rsid w:val="003E0D28"/>
    <w:rPr>
      <w:lang w:val="en-GB"/>
    </w:rPr>
  </w:style>
  <w:style w:type="paragraph" w:customStyle="1" w:styleId="Body7">
    <w:name w:val="Body 7"/>
    <w:basedOn w:val="BodyText"/>
    <w:link w:val="Body7Char"/>
    <w:uiPriority w:val="14"/>
    <w:unhideWhenUsed/>
    <w:qFormat/>
    <w:rsid w:val="003E0D28"/>
    <w:pPr>
      <w:ind w:left="709"/>
    </w:pPr>
  </w:style>
  <w:style w:type="character" w:customStyle="1" w:styleId="Body7Char">
    <w:name w:val="Body 7 Char"/>
    <w:basedOn w:val="BodyTextChar"/>
    <w:link w:val="Body7"/>
    <w:uiPriority w:val="16"/>
    <w:rsid w:val="003E0D28"/>
    <w:rPr>
      <w:lang w:val="en-GB"/>
    </w:rPr>
  </w:style>
  <w:style w:type="paragraph" w:customStyle="1" w:styleId="Article-Level2">
    <w:name w:val="Article - Level 2"/>
    <w:basedOn w:val="BodyText"/>
    <w:next w:val="Body2"/>
    <w:link w:val="Article-Level2Char"/>
    <w:uiPriority w:val="99"/>
    <w:semiHidden/>
    <w:unhideWhenUsed/>
    <w:rsid w:val="00121BB2"/>
    <w:pPr>
      <w:numPr>
        <w:ilvl w:val="1"/>
        <w:numId w:val="27"/>
      </w:numPr>
    </w:pPr>
  </w:style>
  <w:style w:type="character" w:customStyle="1" w:styleId="Article-Level2Char">
    <w:name w:val="Article - Level 2 Char"/>
    <w:basedOn w:val="BodyTextChar"/>
    <w:link w:val="Article-Level2"/>
    <w:uiPriority w:val="99"/>
    <w:semiHidden/>
    <w:rsid w:val="000A5814"/>
    <w:rPr>
      <w:lang w:val="en-GB"/>
    </w:rPr>
  </w:style>
  <w:style w:type="paragraph" w:customStyle="1" w:styleId="Article-Level3">
    <w:name w:val="Article - Level 3"/>
    <w:basedOn w:val="Article-Level2"/>
    <w:next w:val="Body3"/>
    <w:link w:val="Article-Level3Char"/>
    <w:uiPriority w:val="99"/>
    <w:semiHidden/>
    <w:unhideWhenUsed/>
    <w:rsid w:val="00411AD5"/>
    <w:pPr>
      <w:numPr>
        <w:ilvl w:val="2"/>
      </w:numPr>
    </w:pPr>
  </w:style>
  <w:style w:type="character" w:customStyle="1" w:styleId="Article-Level3Char">
    <w:name w:val="Article - Level 3 Char"/>
    <w:basedOn w:val="Article-Level2Char"/>
    <w:link w:val="Article-Level3"/>
    <w:uiPriority w:val="99"/>
    <w:semiHidden/>
    <w:rsid w:val="000A5814"/>
    <w:rPr>
      <w:lang w:val="en-GB"/>
    </w:rPr>
  </w:style>
  <w:style w:type="paragraph" w:customStyle="1" w:styleId="Article-Level4">
    <w:name w:val="Article - Level 4"/>
    <w:basedOn w:val="Article-Level2"/>
    <w:next w:val="Body4"/>
    <w:link w:val="Article-Level4Char"/>
    <w:uiPriority w:val="99"/>
    <w:semiHidden/>
    <w:unhideWhenUsed/>
    <w:rsid w:val="00411AD5"/>
    <w:pPr>
      <w:numPr>
        <w:ilvl w:val="3"/>
      </w:numPr>
    </w:pPr>
  </w:style>
  <w:style w:type="character" w:customStyle="1" w:styleId="Article-Level4Char">
    <w:name w:val="Article - Level 4 Char"/>
    <w:basedOn w:val="Article-Level2Char"/>
    <w:link w:val="Article-Level4"/>
    <w:uiPriority w:val="99"/>
    <w:semiHidden/>
    <w:rsid w:val="000A5814"/>
    <w:rPr>
      <w:lang w:val="en-GB"/>
    </w:rPr>
  </w:style>
  <w:style w:type="paragraph" w:customStyle="1" w:styleId="Article-Level5">
    <w:name w:val="Article - Level 5"/>
    <w:basedOn w:val="Article-Level2"/>
    <w:next w:val="Body5"/>
    <w:link w:val="Article-Level5Char"/>
    <w:uiPriority w:val="99"/>
    <w:semiHidden/>
    <w:unhideWhenUsed/>
    <w:rsid w:val="00411AD5"/>
    <w:pPr>
      <w:numPr>
        <w:ilvl w:val="4"/>
      </w:numPr>
    </w:pPr>
  </w:style>
  <w:style w:type="character" w:customStyle="1" w:styleId="Article-Level5Char">
    <w:name w:val="Article - Level 5 Char"/>
    <w:basedOn w:val="Article-Level2Char"/>
    <w:link w:val="Article-Level5"/>
    <w:uiPriority w:val="99"/>
    <w:semiHidden/>
    <w:rsid w:val="000A5814"/>
    <w:rPr>
      <w:lang w:val="en-GB"/>
    </w:rPr>
  </w:style>
  <w:style w:type="paragraph" w:customStyle="1" w:styleId="Article-Level6">
    <w:name w:val="Article - Level 6"/>
    <w:basedOn w:val="Article-Level2"/>
    <w:next w:val="Body6"/>
    <w:link w:val="Article-Level6Char"/>
    <w:uiPriority w:val="99"/>
    <w:semiHidden/>
    <w:unhideWhenUsed/>
    <w:rsid w:val="00411AD5"/>
    <w:pPr>
      <w:numPr>
        <w:ilvl w:val="5"/>
      </w:numPr>
    </w:pPr>
  </w:style>
  <w:style w:type="character" w:customStyle="1" w:styleId="Article-Level6Char">
    <w:name w:val="Article - Level 6 Char"/>
    <w:basedOn w:val="Article-Level2Char"/>
    <w:link w:val="Article-Level6"/>
    <w:uiPriority w:val="99"/>
    <w:semiHidden/>
    <w:rsid w:val="000A5814"/>
    <w:rPr>
      <w:lang w:val="en-GB"/>
    </w:rPr>
  </w:style>
  <w:style w:type="paragraph" w:customStyle="1" w:styleId="Article-Level7">
    <w:name w:val="Article - Level 7"/>
    <w:basedOn w:val="Article-Level2"/>
    <w:next w:val="Body7"/>
    <w:link w:val="Article-Level7Char"/>
    <w:uiPriority w:val="99"/>
    <w:semiHidden/>
    <w:unhideWhenUsed/>
    <w:rsid w:val="00411AD5"/>
    <w:pPr>
      <w:numPr>
        <w:ilvl w:val="6"/>
      </w:numPr>
    </w:pPr>
  </w:style>
  <w:style w:type="character" w:customStyle="1" w:styleId="Article-Level7Char">
    <w:name w:val="Article - Level 7 Char"/>
    <w:basedOn w:val="Article-Level2Char"/>
    <w:link w:val="Article-Level7"/>
    <w:uiPriority w:val="99"/>
    <w:semiHidden/>
    <w:rsid w:val="000A5814"/>
    <w:rPr>
      <w:lang w:val="en-GB"/>
    </w:rPr>
  </w:style>
  <w:style w:type="paragraph" w:customStyle="1" w:styleId="Bullet1">
    <w:name w:val="Bullet 1"/>
    <w:basedOn w:val="BodyText"/>
    <w:link w:val="Bullet1Char"/>
    <w:uiPriority w:val="99"/>
    <w:semiHidden/>
    <w:unhideWhenUsed/>
    <w:rsid w:val="003E0D28"/>
    <w:pPr>
      <w:numPr>
        <w:numId w:val="28"/>
      </w:numPr>
    </w:pPr>
  </w:style>
  <w:style w:type="character" w:customStyle="1" w:styleId="Bullet1Char">
    <w:name w:val="Bullet 1 Char"/>
    <w:basedOn w:val="BodyTextChar"/>
    <w:link w:val="Bullet1"/>
    <w:uiPriority w:val="99"/>
    <w:semiHidden/>
    <w:rsid w:val="003E0D28"/>
    <w:rPr>
      <w:lang w:val="en-GB"/>
    </w:rPr>
  </w:style>
  <w:style w:type="paragraph" w:customStyle="1" w:styleId="Bullet2">
    <w:name w:val="Bullet 2"/>
    <w:basedOn w:val="BodyText"/>
    <w:link w:val="Bullet2Char"/>
    <w:uiPriority w:val="99"/>
    <w:semiHidden/>
    <w:unhideWhenUsed/>
    <w:rsid w:val="00CC7AE5"/>
    <w:pPr>
      <w:numPr>
        <w:ilvl w:val="1"/>
        <w:numId w:val="28"/>
      </w:numPr>
    </w:pPr>
  </w:style>
  <w:style w:type="character" w:customStyle="1" w:styleId="Bullet2Char">
    <w:name w:val="Bullet 2 Char"/>
    <w:basedOn w:val="BodyTextChar"/>
    <w:link w:val="Bullet2"/>
    <w:uiPriority w:val="99"/>
    <w:semiHidden/>
    <w:rsid w:val="00F32436"/>
    <w:rPr>
      <w:lang w:val="en-GB"/>
    </w:rPr>
  </w:style>
  <w:style w:type="paragraph" w:customStyle="1" w:styleId="Bullet3">
    <w:name w:val="Bullet 3"/>
    <w:basedOn w:val="BodyText"/>
    <w:link w:val="Bullet3Char"/>
    <w:uiPriority w:val="99"/>
    <w:semiHidden/>
    <w:unhideWhenUsed/>
    <w:rsid w:val="00CC7AE5"/>
    <w:pPr>
      <w:numPr>
        <w:ilvl w:val="2"/>
        <w:numId w:val="28"/>
      </w:numPr>
    </w:pPr>
  </w:style>
  <w:style w:type="character" w:customStyle="1" w:styleId="Bullet3Char">
    <w:name w:val="Bullet 3 Char"/>
    <w:basedOn w:val="BodyTextChar"/>
    <w:link w:val="Bullet3"/>
    <w:uiPriority w:val="99"/>
    <w:semiHidden/>
    <w:rsid w:val="00F32436"/>
    <w:rPr>
      <w:lang w:val="en-GB"/>
    </w:rPr>
  </w:style>
  <w:style w:type="paragraph" w:customStyle="1" w:styleId="Bullet4">
    <w:name w:val="Bullet 4"/>
    <w:basedOn w:val="BodyText"/>
    <w:link w:val="Bullet4Char"/>
    <w:uiPriority w:val="99"/>
    <w:semiHidden/>
    <w:unhideWhenUsed/>
    <w:rsid w:val="00CC7AE5"/>
    <w:pPr>
      <w:numPr>
        <w:ilvl w:val="3"/>
        <w:numId w:val="28"/>
      </w:numPr>
    </w:pPr>
  </w:style>
  <w:style w:type="character" w:customStyle="1" w:styleId="Bullet4Char">
    <w:name w:val="Bullet 4 Char"/>
    <w:basedOn w:val="BodyTextChar"/>
    <w:link w:val="Bullet4"/>
    <w:uiPriority w:val="99"/>
    <w:semiHidden/>
    <w:rsid w:val="00F32436"/>
    <w:rPr>
      <w:lang w:val="en-GB"/>
    </w:rPr>
  </w:style>
  <w:style w:type="paragraph" w:customStyle="1" w:styleId="Bullet5">
    <w:name w:val="Bullet 5"/>
    <w:basedOn w:val="BodyText"/>
    <w:link w:val="Bullet5Char"/>
    <w:uiPriority w:val="99"/>
    <w:semiHidden/>
    <w:unhideWhenUsed/>
    <w:rsid w:val="00CC7AE5"/>
    <w:pPr>
      <w:numPr>
        <w:ilvl w:val="4"/>
        <w:numId w:val="28"/>
      </w:numPr>
    </w:pPr>
  </w:style>
  <w:style w:type="character" w:customStyle="1" w:styleId="Bullet5Char">
    <w:name w:val="Bullet 5 Char"/>
    <w:basedOn w:val="BodyTextChar"/>
    <w:link w:val="Bullet5"/>
    <w:uiPriority w:val="99"/>
    <w:semiHidden/>
    <w:rsid w:val="00F32436"/>
    <w:rPr>
      <w:lang w:val="en-GB"/>
    </w:rPr>
  </w:style>
  <w:style w:type="paragraph" w:customStyle="1" w:styleId="Bullet6">
    <w:name w:val="Bullet 6"/>
    <w:basedOn w:val="BodyText"/>
    <w:link w:val="Bullet6Char"/>
    <w:uiPriority w:val="99"/>
    <w:semiHidden/>
    <w:unhideWhenUsed/>
    <w:rsid w:val="00CC7AE5"/>
    <w:pPr>
      <w:numPr>
        <w:ilvl w:val="5"/>
        <w:numId w:val="28"/>
      </w:numPr>
    </w:pPr>
  </w:style>
  <w:style w:type="character" w:customStyle="1" w:styleId="Bullet6Char">
    <w:name w:val="Bullet 6 Char"/>
    <w:basedOn w:val="BodyTextChar"/>
    <w:link w:val="Bullet6"/>
    <w:uiPriority w:val="99"/>
    <w:semiHidden/>
    <w:rsid w:val="00F32436"/>
    <w:rPr>
      <w:lang w:val="en-GB"/>
    </w:rPr>
  </w:style>
  <w:style w:type="paragraph" w:customStyle="1" w:styleId="Bullet7">
    <w:name w:val="Bullet 7"/>
    <w:basedOn w:val="BodyText"/>
    <w:link w:val="Bullet7Char"/>
    <w:uiPriority w:val="99"/>
    <w:semiHidden/>
    <w:unhideWhenUsed/>
    <w:rsid w:val="003E0D28"/>
    <w:pPr>
      <w:numPr>
        <w:ilvl w:val="6"/>
        <w:numId w:val="28"/>
      </w:numPr>
    </w:pPr>
  </w:style>
  <w:style w:type="character" w:customStyle="1" w:styleId="Bullet7Char">
    <w:name w:val="Bullet 7 Char"/>
    <w:basedOn w:val="BodyTextChar"/>
    <w:link w:val="Bullet7"/>
    <w:uiPriority w:val="99"/>
    <w:semiHidden/>
    <w:rsid w:val="003E0D28"/>
    <w:rPr>
      <w:lang w:val="en-GB"/>
    </w:rPr>
  </w:style>
  <w:style w:type="paragraph" w:customStyle="1" w:styleId="ExhibitSubHead">
    <w:name w:val="Exhibit SubHead"/>
    <w:basedOn w:val="BodyText"/>
    <w:next w:val="BodyText"/>
    <w:link w:val="ExhibitSubHeadChar"/>
    <w:uiPriority w:val="99"/>
    <w:semiHidden/>
    <w:rsid w:val="00B20377"/>
    <w:pPr>
      <w:keepNext/>
      <w:keepLines/>
      <w:numPr>
        <w:ilvl w:val="1"/>
        <w:numId w:val="15"/>
      </w:numPr>
      <w:jc w:val="center"/>
    </w:pPr>
    <w:rPr>
      <w:rFonts w:asciiTheme="majorHAnsi" w:hAnsiTheme="majorHAnsi" w:cstheme="majorHAnsi"/>
      <w:b/>
    </w:rPr>
  </w:style>
  <w:style w:type="character" w:customStyle="1" w:styleId="ExhibitSubHeadChar">
    <w:name w:val="Exhibit SubHead Char"/>
    <w:basedOn w:val="BodyTextChar"/>
    <w:link w:val="ExhibitSubHead"/>
    <w:uiPriority w:val="99"/>
    <w:semiHidden/>
    <w:rsid w:val="000A5814"/>
    <w:rPr>
      <w:rFonts w:asciiTheme="majorHAnsi" w:hAnsiTheme="majorHAnsi" w:cstheme="majorHAnsi"/>
      <w:b/>
      <w:lang w:val="en-GB"/>
    </w:rPr>
  </w:style>
  <w:style w:type="paragraph" w:customStyle="1" w:styleId="ExhibitNumHead">
    <w:name w:val="Exhibit NumHead"/>
    <w:basedOn w:val="BodyText"/>
    <w:next w:val="ExhibitSubHead"/>
    <w:link w:val="ExhibitNumHeadChar"/>
    <w:uiPriority w:val="99"/>
    <w:semiHidden/>
    <w:rsid w:val="00B20377"/>
    <w:pPr>
      <w:keepNext/>
      <w:keepLines/>
      <w:numPr>
        <w:numId w:val="15"/>
      </w:numPr>
      <w:jc w:val="center"/>
    </w:pPr>
    <w:rPr>
      <w:b/>
      <w:sz w:val="22"/>
    </w:rPr>
  </w:style>
  <w:style w:type="character" w:customStyle="1" w:styleId="ExhibitNumHeadChar">
    <w:name w:val="Exhibit NumHead Char"/>
    <w:basedOn w:val="BodyTextChar"/>
    <w:link w:val="ExhibitNumHead"/>
    <w:uiPriority w:val="99"/>
    <w:semiHidden/>
    <w:rsid w:val="000A5814"/>
    <w:rPr>
      <w:b/>
      <w:sz w:val="22"/>
      <w:lang w:val="en-GB"/>
    </w:rPr>
  </w:style>
  <w:style w:type="paragraph" w:customStyle="1" w:styleId="Level1">
    <w:name w:val="Level 1"/>
    <w:basedOn w:val="BodyText"/>
    <w:next w:val="Body1"/>
    <w:link w:val="Level1Char"/>
    <w:uiPriority w:val="99"/>
    <w:semiHidden/>
    <w:unhideWhenUsed/>
    <w:qFormat/>
    <w:rsid w:val="00F85F9B"/>
    <w:pPr>
      <w:keepNext/>
      <w:keepLines/>
      <w:numPr>
        <w:numId w:val="29"/>
      </w:numPr>
    </w:pPr>
    <w:rPr>
      <w:b/>
      <w:sz w:val="22"/>
    </w:rPr>
  </w:style>
  <w:style w:type="character" w:customStyle="1" w:styleId="Level1Char">
    <w:name w:val="Level 1 Char"/>
    <w:basedOn w:val="BodyTextChar"/>
    <w:link w:val="Level1"/>
    <w:uiPriority w:val="99"/>
    <w:semiHidden/>
    <w:rsid w:val="00F85F9B"/>
    <w:rPr>
      <w:b/>
      <w:sz w:val="22"/>
      <w:lang w:val="en-GB"/>
    </w:rPr>
  </w:style>
  <w:style w:type="paragraph" w:customStyle="1" w:styleId="Level2">
    <w:name w:val="Level 2"/>
    <w:basedOn w:val="BodyText"/>
    <w:next w:val="Body2"/>
    <w:link w:val="Level2Char"/>
    <w:uiPriority w:val="99"/>
    <w:semiHidden/>
    <w:unhideWhenUsed/>
    <w:rsid w:val="00F85F9B"/>
    <w:pPr>
      <w:numPr>
        <w:ilvl w:val="1"/>
        <w:numId w:val="29"/>
      </w:numPr>
    </w:pPr>
  </w:style>
  <w:style w:type="character" w:customStyle="1" w:styleId="Level2Char">
    <w:name w:val="Level 2 Char"/>
    <w:basedOn w:val="BodyTextChar"/>
    <w:link w:val="Level2"/>
    <w:uiPriority w:val="99"/>
    <w:semiHidden/>
    <w:rsid w:val="00F85F9B"/>
    <w:rPr>
      <w:lang w:val="en-GB"/>
    </w:rPr>
  </w:style>
  <w:style w:type="paragraph" w:customStyle="1" w:styleId="Level3">
    <w:name w:val="Level 3"/>
    <w:basedOn w:val="BodyText"/>
    <w:next w:val="Body3"/>
    <w:link w:val="Level3Char"/>
    <w:uiPriority w:val="99"/>
    <w:semiHidden/>
    <w:unhideWhenUsed/>
    <w:rsid w:val="00F85F9B"/>
    <w:pPr>
      <w:numPr>
        <w:ilvl w:val="2"/>
        <w:numId w:val="29"/>
      </w:numPr>
    </w:pPr>
  </w:style>
  <w:style w:type="character" w:customStyle="1" w:styleId="Level3Char">
    <w:name w:val="Level 3 Char"/>
    <w:basedOn w:val="BodyTextChar"/>
    <w:link w:val="Level3"/>
    <w:uiPriority w:val="99"/>
    <w:semiHidden/>
    <w:rsid w:val="00F85F9B"/>
    <w:rPr>
      <w:lang w:val="en-GB"/>
    </w:rPr>
  </w:style>
  <w:style w:type="paragraph" w:customStyle="1" w:styleId="Level4">
    <w:name w:val="Level 4"/>
    <w:basedOn w:val="BodyText"/>
    <w:next w:val="Body4"/>
    <w:link w:val="Level4Char"/>
    <w:uiPriority w:val="99"/>
    <w:semiHidden/>
    <w:unhideWhenUsed/>
    <w:rsid w:val="00F85F9B"/>
    <w:pPr>
      <w:numPr>
        <w:ilvl w:val="3"/>
        <w:numId w:val="29"/>
      </w:numPr>
    </w:pPr>
  </w:style>
  <w:style w:type="character" w:customStyle="1" w:styleId="Level4Char">
    <w:name w:val="Level 4 Char"/>
    <w:basedOn w:val="BodyTextChar"/>
    <w:link w:val="Level4"/>
    <w:uiPriority w:val="99"/>
    <w:semiHidden/>
    <w:rsid w:val="00F85F9B"/>
    <w:rPr>
      <w:lang w:val="en-GB"/>
    </w:rPr>
  </w:style>
  <w:style w:type="paragraph" w:customStyle="1" w:styleId="Level5">
    <w:name w:val="Level 5"/>
    <w:basedOn w:val="BodyText"/>
    <w:next w:val="Body5"/>
    <w:link w:val="Level5Char"/>
    <w:uiPriority w:val="99"/>
    <w:semiHidden/>
    <w:unhideWhenUsed/>
    <w:rsid w:val="00F85F9B"/>
    <w:pPr>
      <w:numPr>
        <w:ilvl w:val="4"/>
        <w:numId w:val="29"/>
      </w:numPr>
    </w:pPr>
  </w:style>
  <w:style w:type="character" w:customStyle="1" w:styleId="Level5Char">
    <w:name w:val="Level 5 Char"/>
    <w:basedOn w:val="BodyTextChar"/>
    <w:link w:val="Level5"/>
    <w:uiPriority w:val="99"/>
    <w:semiHidden/>
    <w:rsid w:val="00F85F9B"/>
    <w:rPr>
      <w:lang w:val="en-GB"/>
    </w:rPr>
  </w:style>
  <w:style w:type="paragraph" w:customStyle="1" w:styleId="Level6">
    <w:name w:val="Level 6"/>
    <w:basedOn w:val="BodyText"/>
    <w:next w:val="Body6"/>
    <w:link w:val="Level6Char"/>
    <w:uiPriority w:val="99"/>
    <w:semiHidden/>
    <w:unhideWhenUsed/>
    <w:qFormat/>
    <w:rsid w:val="00F85F9B"/>
    <w:pPr>
      <w:numPr>
        <w:ilvl w:val="5"/>
        <w:numId w:val="29"/>
      </w:numPr>
    </w:pPr>
  </w:style>
  <w:style w:type="character" w:customStyle="1" w:styleId="Level6Char">
    <w:name w:val="Level 6 Char"/>
    <w:basedOn w:val="BodyTextChar"/>
    <w:link w:val="Level6"/>
    <w:uiPriority w:val="99"/>
    <w:semiHidden/>
    <w:rsid w:val="00F85F9B"/>
    <w:rPr>
      <w:lang w:val="en-GB"/>
    </w:rPr>
  </w:style>
  <w:style w:type="paragraph" w:customStyle="1" w:styleId="Level7">
    <w:name w:val="Level 7"/>
    <w:basedOn w:val="BodyText"/>
    <w:next w:val="Body7"/>
    <w:link w:val="Level7Char"/>
    <w:uiPriority w:val="99"/>
    <w:semiHidden/>
    <w:unhideWhenUsed/>
    <w:qFormat/>
    <w:rsid w:val="00F85F9B"/>
    <w:pPr>
      <w:numPr>
        <w:ilvl w:val="6"/>
        <w:numId w:val="29"/>
      </w:numPr>
    </w:pPr>
  </w:style>
  <w:style w:type="character" w:customStyle="1" w:styleId="Level7Char">
    <w:name w:val="Level 7 Char"/>
    <w:basedOn w:val="BodyTextChar"/>
    <w:link w:val="Level7"/>
    <w:uiPriority w:val="99"/>
    <w:semiHidden/>
    <w:rsid w:val="00F85F9B"/>
    <w:rPr>
      <w:lang w:val="en-GB"/>
    </w:rPr>
  </w:style>
  <w:style w:type="paragraph" w:customStyle="1" w:styleId="MA-ArtsLevel1">
    <w:name w:val="M&amp;A - Arts Level 1"/>
    <w:basedOn w:val="BodyText"/>
    <w:next w:val="Body1"/>
    <w:link w:val="MA-ArtsLevel1Char"/>
    <w:uiPriority w:val="99"/>
    <w:semiHidden/>
    <w:unhideWhenUsed/>
    <w:rsid w:val="00F85F9B"/>
    <w:pPr>
      <w:numPr>
        <w:numId w:val="30"/>
      </w:numPr>
    </w:pPr>
  </w:style>
  <w:style w:type="character" w:customStyle="1" w:styleId="MA-ArtsLevel1Char">
    <w:name w:val="M&amp;A - Arts Level 1 Char"/>
    <w:basedOn w:val="BodyTextChar"/>
    <w:link w:val="MA-ArtsLevel1"/>
    <w:uiPriority w:val="99"/>
    <w:semiHidden/>
    <w:rsid w:val="00F85F9B"/>
    <w:rPr>
      <w:lang w:val="en-GB"/>
    </w:rPr>
  </w:style>
  <w:style w:type="paragraph" w:customStyle="1" w:styleId="MA-ArtsLevel2">
    <w:name w:val="M&amp;A - Arts Level 2"/>
    <w:basedOn w:val="BodyText"/>
    <w:next w:val="Body3"/>
    <w:link w:val="MA-ArtsLevel2Char"/>
    <w:uiPriority w:val="99"/>
    <w:semiHidden/>
    <w:unhideWhenUsed/>
    <w:rsid w:val="00F85F9B"/>
    <w:pPr>
      <w:numPr>
        <w:ilvl w:val="1"/>
        <w:numId w:val="30"/>
      </w:numPr>
    </w:pPr>
  </w:style>
  <w:style w:type="character" w:customStyle="1" w:styleId="MA-ArtsLevel2Char">
    <w:name w:val="M&amp;A - Arts Level 2 Char"/>
    <w:basedOn w:val="BodyTextChar"/>
    <w:link w:val="MA-ArtsLevel2"/>
    <w:uiPriority w:val="99"/>
    <w:semiHidden/>
    <w:rsid w:val="00F85F9B"/>
    <w:rPr>
      <w:lang w:val="en-GB"/>
    </w:rPr>
  </w:style>
  <w:style w:type="paragraph" w:customStyle="1" w:styleId="MA-ArtsLevel3">
    <w:name w:val="M&amp;A - Arts Level 3"/>
    <w:basedOn w:val="BodyText"/>
    <w:next w:val="Body3"/>
    <w:link w:val="MA-ArtsLevel3Char"/>
    <w:uiPriority w:val="99"/>
    <w:semiHidden/>
    <w:unhideWhenUsed/>
    <w:qFormat/>
    <w:rsid w:val="00F85F9B"/>
    <w:pPr>
      <w:numPr>
        <w:ilvl w:val="2"/>
        <w:numId w:val="30"/>
      </w:numPr>
    </w:pPr>
  </w:style>
  <w:style w:type="character" w:customStyle="1" w:styleId="MA-ArtsLevel3Char">
    <w:name w:val="M&amp;A - Arts Level 3 Char"/>
    <w:basedOn w:val="BodyTextChar"/>
    <w:link w:val="MA-ArtsLevel3"/>
    <w:uiPriority w:val="99"/>
    <w:semiHidden/>
    <w:rsid w:val="00F85F9B"/>
    <w:rPr>
      <w:lang w:val="en-GB"/>
    </w:rPr>
  </w:style>
  <w:style w:type="paragraph" w:customStyle="1" w:styleId="MA-ArtsLevel4">
    <w:name w:val="M&amp;A - Arts Level 4"/>
    <w:basedOn w:val="BodyText"/>
    <w:next w:val="Body4"/>
    <w:link w:val="MA-ArtsLevel4Char"/>
    <w:uiPriority w:val="99"/>
    <w:semiHidden/>
    <w:unhideWhenUsed/>
    <w:rsid w:val="00F85F9B"/>
    <w:pPr>
      <w:numPr>
        <w:ilvl w:val="3"/>
        <w:numId w:val="30"/>
      </w:numPr>
    </w:pPr>
  </w:style>
  <w:style w:type="character" w:customStyle="1" w:styleId="MA-ArtsLevel4Char">
    <w:name w:val="M&amp;A - Arts Level 4 Char"/>
    <w:basedOn w:val="BodyTextChar"/>
    <w:link w:val="MA-ArtsLevel4"/>
    <w:uiPriority w:val="99"/>
    <w:semiHidden/>
    <w:rsid w:val="00F85F9B"/>
    <w:rPr>
      <w:lang w:val="en-GB"/>
    </w:rPr>
  </w:style>
  <w:style w:type="paragraph" w:customStyle="1" w:styleId="MA-ArtsLevel5">
    <w:name w:val="M&amp;A - Arts Level 5"/>
    <w:basedOn w:val="BodyText"/>
    <w:next w:val="Body5"/>
    <w:link w:val="MA-ArtsLevel5Char"/>
    <w:uiPriority w:val="99"/>
    <w:semiHidden/>
    <w:unhideWhenUsed/>
    <w:rsid w:val="00F85F9B"/>
    <w:pPr>
      <w:numPr>
        <w:ilvl w:val="4"/>
        <w:numId w:val="30"/>
      </w:numPr>
    </w:pPr>
  </w:style>
  <w:style w:type="character" w:customStyle="1" w:styleId="MA-ArtsLevel5Char">
    <w:name w:val="M&amp;A - Arts Level 5 Char"/>
    <w:basedOn w:val="BodyTextChar"/>
    <w:link w:val="MA-ArtsLevel5"/>
    <w:uiPriority w:val="99"/>
    <w:semiHidden/>
    <w:rsid w:val="00F85F9B"/>
    <w:rPr>
      <w:lang w:val="en-GB"/>
    </w:rPr>
  </w:style>
  <w:style w:type="paragraph" w:customStyle="1" w:styleId="MA-ArtsLevel6">
    <w:name w:val="M&amp;A - Arts Level 6"/>
    <w:basedOn w:val="BodyText"/>
    <w:next w:val="Body6"/>
    <w:link w:val="MA-ArtsLevel6Char"/>
    <w:uiPriority w:val="99"/>
    <w:semiHidden/>
    <w:unhideWhenUsed/>
    <w:rsid w:val="00F85F9B"/>
    <w:pPr>
      <w:numPr>
        <w:ilvl w:val="5"/>
        <w:numId w:val="30"/>
      </w:numPr>
    </w:pPr>
  </w:style>
  <w:style w:type="character" w:customStyle="1" w:styleId="MA-ArtsLevel6Char">
    <w:name w:val="M&amp;A - Arts Level 6 Char"/>
    <w:basedOn w:val="BodyTextChar"/>
    <w:link w:val="MA-ArtsLevel6"/>
    <w:uiPriority w:val="99"/>
    <w:semiHidden/>
    <w:rsid w:val="00F85F9B"/>
    <w:rPr>
      <w:lang w:val="en-GB"/>
    </w:rPr>
  </w:style>
  <w:style w:type="paragraph" w:customStyle="1" w:styleId="MA-ArtsLevel7">
    <w:name w:val="M&amp;A - Arts Level 7"/>
    <w:basedOn w:val="BodyText"/>
    <w:next w:val="Body7"/>
    <w:link w:val="MA-ArtsLevel7Char"/>
    <w:uiPriority w:val="99"/>
    <w:semiHidden/>
    <w:unhideWhenUsed/>
    <w:rsid w:val="00F85F9B"/>
    <w:pPr>
      <w:numPr>
        <w:ilvl w:val="6"/>
        <w:numId w:val="30"/>
      </w:numPr>
    </w:pPr>
  </w:style>
  <w:style w:type="character" w:customStyle="1" w:styleId="MA-ArtsLevel7Char">
    <w:name w:val="M&amp;A - Arts Level 7 Char"/>
    <w:basedOn w:val="BodyTextChar"/>
    <w:link w:val="MA-ArtsLevel7"/>
    <w:uiPriority w:val="99"/>
    <w:semiHidden/>
    <w:rsid w:val="00F85F9B"/>
    <w:rPr>
      <w:lang w:val="en-GB"/>
    </w:rPr>
  </w:style>
  <w:style w:type="paragraph" w:customStyle="1" w:styleId="MA-MemoLevel1">
    <w:name w:val="M&amp;A - Memo Level 1"/>
    <w:basedOn w:val="BodyText"/>
    <w:next w:val="Body1"/>
    <w:link w:val="MA-MemoLevel1Char"/>
    <w:uiPriority w:val="99"/>
    <w:semiHidden/>
    <w:unhideWhenUsed/>
    <w:rsid w:val="00F85F9B"/>
    <w:pPr>
      <w:numPr>
        <w:numId w:val="31"/>
      </w:numPr>
    </w:pPr>
  </w:style>
  <w:style w:type="character" w:customStyle="1" w:styleId="MA-MemoLevel1Char">
    <w:name w:val="M&amp;A - Memo Level 1 Char"/>
    <w:basedOn w:val="BodyTextChar"/>
    <w:link w:val="MA-MemoLevel1"/>
    <w:uiPriority w:val="99"/>
    <w:semiHidden/>
    <w:rsid w:val="00F85F9B"/>
    <w:rPr>
      <w:lang w:val="en-GB"/>
    </w:rPr>
  </w:style>
  <w:style w:type="paragraph" w:customStyle="1" w:styleId="MA-MemoLevel2">
    <w:name w:val="M&amp;A - Memo Level 2"/>
    <w:basedOn w:val="BodyText"/>
    <w:next w:val="Body3"/>
    <w:link w:val="MA-MemoLevel2Char"/>
    <w:uiPriority w:val="99"/>
    <w:semiHidden/>
    <w:unhideWhenUsed/>
    <w:rsid w:val="00F85F9B"/>
    <w:pPr>
      <w:numPr>
        <w:ilvl w:val="1"/>
        <w:numId w:val="31"/>
      </w:numPr>
    </w:pPr>
  </w:style>
  <w:style w:type="character" w:customStyle="1" w:styleId="MA-MemoLevel2Char">
    <w:name w:val="M&amp;A - Memo Level 2 Char"/>
    <w:basedOn w:val="BodyTextChar"/>
    <w:link w:val="MA-MemoLevel2"/>
    <w:uiPriority w:val="99"/>
    <w:semiHidden/>
    <w:rsid w:val="00F85F9B"/>
    <w:rPr>
      <w:lang w:val="en-GB"/>
    </w:rPr>
  </w:style>
  <w:style w:type="paragraph" w:customStyle="1" w:styleId="MA-MemoLevel3">
    <w:name w:val="M&amp;A - Memo Level 3"/>
    <w:basedOn w:val="BodyText"/>
    <w:next w:val="Body3"/>
    <w:link w:val="MA-MemoLevel3Char"/>
    <w:uiPriority w:val="99"/>
    <w:semiHidden/>
    <w:unhideWhenUsed/>
    <w:rsid w:val="00F85F9B"/>
    <w:pPr>
      <w:numPr>
        <w:ilvl w:val="2"/>
        <w:numId w:val="31"/>
      </w:numPr>
    </w:pPr>
  </w:style>
  <w:style w:type="character" w:customStyle="1" w:styleId="MA-MemoLevel3Char">
    <w:name w:val="M&amp;A - Memo Level 3 Char"/>
    <w:basedOn w:val="BodyTextChar"/>
    <w:link w:val="MA-MemoLevel3"/>
    <w:uiPriority w:val="99"/>
    <w:semiHidden/>
    <w:rsid w:val="00F85F9B"/>
    <w:rPr>
      <w:lang w:val="en-GB"/>
    </w:rPr>
  </w:style>
  <w:style w:type="paragraph" w:customStyle="1" w:styleId="MA-MemoLevel4">
    <w:name w:val="M&amp;A - Memo Level 4"/>
    <w:basedOn w:val="BodyText"/>
    <w:next w:val="Body4"/>
    <w:link w:val="MA-MemoLevel4Char"/>
    <w:uiPriority w:val="99"/>
    <w:semiHidden/>
    <w:unhideWhenUsed/>
    <w:rsid w:val="00F85F9B"/>
    <w:pPr>
      <w:numPr>
        <w:ilvl w:val="3"/>
        <w:numId w:val="31"/>
      </w:numPr>
    </w:pPr>
  </w:style>
  <w:style w:type="character" w:customStyle="1" w:styleId="MA-MemoLevel4Char">
    <w:name w:val="M&amp;A - Memo Level 4 Char"/>
    <w:basedOn w:val="BodyTextChar"/>
    <w:link w:val="MA-MemoLevel4"/>
    <w:uiPriority w:val="99"/>
    <w:semiHidden/>
    <w:rsid w:val="00F85F9B"/>
    <w:rPr>
      <w:lang w:val="en-GB"/>
    </w:rPr>
  </w:style>
  <w:style w:type="paragraph" w:customStyle="1" w:styleId="MA-MemoLevel5">
    <w:name w:val="M&amp;A - Memo Level 5"/>
    <w:basedOn w:val="BodyText"/>
    <w:next w:val="Body5"/>
    <w:link w:val="MA-MemoLevel5Char"/>
    <w:uiPriority w:val="99"/>
    <w:semiHidden/>
    <w:unhideWhenUsed/>
    <w:qFormat/>
    <w:rsid w:val="00F85F9B"/>
    <w:pPr>
      <w:numPr>
        <w:ilvl w:val="4"/>
        <w:numId w:val="31"/>
      </w:numPr>
    </w:pPr>
  </w:style>
  <w:style w:type="character" w:customStyle="1" w:styleId="MA-MemoLevel5Char">
    <w:name w:val="M&amp;A - Memo Level 5 Char"/>
    <w:basedOn w:val="BodyTextChar"/>
    <w:link w:val="MA-MemoLevel5"/>
    <w:uiPriority w:val="99"/>
    <w:semiHidden/>
    <w:rsid w:val="00F85F9B"/>
    <w:rPr>
      <w:lang w:val="en-GB"/>
    </w:rPr>
  </w:style>
  <w:style w:type="paragraph" w:customStyle="1" w:styleId="MA-MemoLevel6">
    <w:name w:val="M&amp;A - Memo Level 6"/>
    <w:basedOn w:val="BodyText"/>
    <w:next w:val="Body6"/>
    <w:link w:val="MA-MemoLevel6Char"/>
    <w:uiPriority w:val="99"/>
    <w:semiHidden/>
    <w:unhideWhenUsed/>
    <w:rsid w:val="00F85F9B"/>
    <w:pPr>
      <w:numPr>
        <w:ilvl w:val="5"/>
        <w:numId w:val="31"/>
      </w:numPr>
    </w:pPr>
  </w:style>
  <w:style w:type="character" w:customStyle="1" w:styleId="MA-MemoLevel6Char">
    <w:name w:val="M&amp;A - Memo Level 6 Char"/>
    <w:basedOn w:val="BodyTextChar"/>
    <w:link w:val="MA-MemoLevel6"/>
    <w:uiPriority w:val="99"/>
    <w:semiHidden/>
    <w:rsid w:val="00F85F9B"/>
    <w:rPr>
      <w:lang w:val="en-GB"/>
    </w:rPr>
  </w:style>
  <w:style w:type="paragraph" w:customStyle="1" w:styleId="MA-MemoLevel7">
    <w:name w:val="M&amp;A - Memo Level 7"/>
    <w:basedOn w:val="BodyText"/>
    <w:next w:val="Body7"/>
    <w:link w:val="MA-MemoLevel7Char"/>
    <w:uiPriority w:val="99"/>
    <w:semiHidden/>
    <w:unhideWhenUsed/>
    <w:rsid w:val="00F85F9B"/>
    <w:pPr>
      <w:numPr>
        <w:ilvl w:val="6"/>
        <w:numId w:val="31"/>
      </w:numPr>
    </w:pPr>
  </w:style>
  <w:style w:type="character" w:customStyle="1" w:styleId="MA-MemoLevel7Char">
    <w:name w:val="M&amp;A - Memo Level 7 Char"/>
    <w:basedOn w:val="BodyTextChar"/>
    <w:link w:val="MA-MemoLevel7"/>
    <w:uiPriority w:val="99"/>
    <w:semiHidden/>
    <w:rsid w:val="00F85F9B"/>
    <w:rPr>
      <w:lang w:val="en-GB"/>
    </w:rPr>
  </w:style>
  <w:style w:type="paragraph" w:customStyle="1" w:styleId="NA-LEVEL1">
    <w:name w:val="NA - LEVEL 1"/>
    <w:basedOn w:val="BodyText"/>
    <w:next w:val="Body1"/>
    <w:link w:val="NA-LEVEL1Char"/>
    <w:uiPriority w:val="1"/>
    <w:unhideWhenUsed/>
    <w:qFormat/>
    <w:rsid w:val="00F85F9B"/>
    <w:pPr>
      <w:numPr>
        <w:numId w:val="32"/>
      </w:numPr>
    </w:pPr>
  </w:style>
  <w:style w:type="character" w:customStyle="1" w:styleId="NA-LEVEL1Char">
    <w:name w:val="NA - LEVEL 1 Char"/>
    <w:basedOn w:val="BodyTextChar"/>
    <w:link w:val="NA-LEVEL1"/>
    <w:uiPriority w:val="1"/>
    <w:rsid w:val="00F85F9B"/>
    <w:rPr>
      <w:lang w:val="en-GB"/>
    </w:rPr>
  </w:style>
  <w:style w:type="paragraph" w:customStyle="1" w:styleId="NA-LEVEL2">
    <w:name w:val="NA - LEVEL 2"/>
    <w:basedOn w:val="BodyText"/>
    <w:next w:val="Body3"/>
    <w:link w:val="NA-LEVEL2Char"/>
    <w:uiPriority w:val="3"/>
    <w:unhideWhenUsed/>
    <w:rsid w:val="00F85F9B"/>
    <w:pPr>
      <w:numPr>
        <w:ilvl w:val="1"/>
        <w:numId w:val="32"/>
      </w:numPr>
    </w:pPr>
  </w:style>
  <w:style w:type="character" w:customStyle="1" w:styleId="NA-LEVEL2Char">
    <w:name w:val="NA - LEVEL 2 Char"/>
    <w:basedOn w:val="BodyTextChar"/>
    <w:link w:val="NA-LEVEL2"/>
    <w:uiPriority w:val="3"/>
    <w:rsid w:val="00F85F9B"/>
    <w:rPr>
      <w:lang w:val="en-GB"/>
    </w:rPr>
  </w:style>
  <w:style w:type="paragraph" w:customStyle="1" w:styleId="NA-LEVEL3">
    <w:name w:val="NA - LEVEL 3"/>
    <w:basedOn w:val="BodyText"/>
    <w:next w:val="Body4"/>
    <w:link w:val="NA-LEVEL3Char"/>
    <w:uiPriority w:val="5"/>
    <w:unhideWhenUsed/>
    <w:rsid w:val="00F85F9B"/>
    <w:pPr>
      <w:numPr>
        <w:ilvl w:val="2"/>
        <w:numId w:val="32"/>
      </w:numPr>
    </w:pPr>
  </w:style>
  <w:style w:type="character" w:customStyle="1" w:styleId="NA-LEVEL3Char">
    <w:name w:val="NA - LEVEL 3 Char"/>
    <w:basedOn w:val="BodyTextChar"/>
    <w:link w:val="NA-LEVEL3"/>
    <w:uiPriority w:val="5"/>
    <w:rsid w:val="00F85F9B"/>
    <w:rPr>
      <w:lang w:val="en-GB"/>
    </w:rPr>
  </w:style>
  <w:style w:type="paragraph" w:customStyle="1" w:styleId="NA-LEVEL4">
    <w:name w:val="NA - LEVEL 4"/>
    <w:basedOn w:val="BodyText"/>
    <w:next w:val="Body5"/>
    <w:link w:val="NA-LEVEL4Char"/>
    <w:uiPriority w:val="7"/>
    <w:unhideWhenUsed/>
    <w:rsid w:val="00F85F9B"/>
    <w:pPr>
      <w:numPr>
        <w:ilvl w:val="3"/>
        <w:numId w:val="32"/>
      </w:numPr>
    </w:pPr>
  </w:style>
  <w:style w:type="character" w:customStyle="1" w:styleId="NA-LEVEL4Char">
    <w:name w:val="NA - LEVEL 4 Char"/>
    <w:basedOn w:val="BodyTextChar"/>
    <w:link w:val="NA-LEVEL4"/>
    <w:uiPriority w:val="7"/>
    <w:rsid w:val="00F85F9B"/>
    <w:rPr>
      <w:lang w:val="en-GB"/>
    </w:rPr>
  </w:style>
  <w:style w:type="paragraph" w:customStyle="1" w:styleId="NA-LEVEL5">
    <w:name w:val="NA - LEVEL 5"/>
    <w:basedOn w:val="BodyText"/>
    <w:next w:val="Body6"/>
    <w:link w:val="NA-LEVEL5Char"/>
    <w:uiPriority w:val="9"/>
    <w:unhideWhenUsed/>
    <w:rsid w:val="00F85F9B"/>
    <w:pPr>
      <w:numPr>
        <w:ilvl w:val="4"/>
        <w:numId w:val="32"/>
      </w:numPr>
    </w:pPr>
  </w:style>
  <w:style w:type="character" w:customStyle="1" w:styleId="NA-LEVEL5Char">
    <w:name w:val="NA - LEVEL 5 Char"/>
    <w:basedOn w:val="BodyTextChar"/>
    <w:link w:val="NA-LEVEL5"/>
    <w:uiPriority w:val="9"/>
    <w:rsid w:val="00F85F9B"/>
    <w:rPr>
      <w:lang w:val="en-GB"/>
    </w:rPr>
  </w:style>
  <w:style w:type="paragraph" w:customStyle="1" w:styleId="NA-LEVEL6">
    <w:name w:val="NA - LEVEL 6"/>
    <w:basedOn w:val="BodyText"/>
    <w:next w:val="Body7"/>
    <w:link w:val="NA-LEVEL6Char"/>
    <w:uiPriority w:val="13"/>
    <w:unhideWhenUsed/>
    <w:rsid w:val="00F85F9B"/>
    <w:pPr>
      <w:numPr>
        <w:ilvl w:val="5"/>
        <w:numId w:val="32"/>
      </w:numPr>
    </w:pPr>
  </w:style>
  <w:style w:type="character" w:customStyle="1" w:styleId="NA-LEVEL6Char">
    <w:name w:val="NA - LEVEL 6 Char"/>
    <w:basedOn w:val="BodyTextChar"/>
    <w:link w:val="NA-LEVEL6"/>
    <w:uiPriority w:val="13"/>
    <w:rsid w:val="00F85F9B"/>
    <w:rPr>
      <w:lang w:val="en-GB"/>
    </w:rPr>
  </w:style>
  <w:style w:type="paragraph" w:customStyle="1" w:styleId="NA-LEVEL7">
    <w:name w:val="NA - LEVEL 7"/>
    <w:basedOn w:val="BodyText"/>
    <w:next w:val="Body8"/>
    <w:link w:val="NA-LEVEL7Char"/>
    <w:uiPriority w:val="15"/>
    <w:unhideWhenUsed/>
    <w:rsid w:val="00F85F9B"/>
    <w:pPr>
      <w:numPr>
        <w:ilvl w:val="6"/>
        <w:numId w:val="32"/>
      </w:numPr>
    </w:pPr>
  </w:style>
  <w:style w:type="character" w:customStyle="1" w:styleId="NA-LEVEL7Char">
    <w:name w:val="NA - LEVEL 7 Char"/>
    <w:basedOn w:val="BodyTextChar"/>
    <w:link w:val="NA-LEVEL7"/>
    <w:uiPriority w:val="15"/>
    <w:rsid w:val="00F85F9B"/>
    <w:rPr>
      <w:lang w:val="en-GB"/>
    </w:rPr>
  </w:style>
  <w:style w:type="paragraph" w:customStyle="1" w:styleId="Prospectus-Level1">
    <w:name w:val="Prospectus - Level 1"/>
    <w:basedOn w:val="BodyText"/>
    <w:next w:val="BodyText"/>
    <w:link w:val="Prospectus-Level1Char"/>
    <w:uiPriority w:val="99"/>
    <w:semiHidden/>
    <w:qFormat/>
    <w:rsid w:val="001E4589"/>
    <w:pPr>
      <w:keepNext/>
      <w:keepLines/>
      <w:pBdr>
        <w:top w:val="single" w:sz="2" w:space="6" w:color="auto"/>
        <w:bottom w:val="single" w:sz="2" w:space="6" w:color="auto"/>
      </w:pBdr>
      <w:jc w:val="center"/>
    </w:pPr>
    <w:rPr>
      <w:rFonts w:asciiTheme="majorHAnsi" w:hAnsiTheme="majorHAnsi" w:cstheme="majorHAnsi"/>
      <w:b/>
      <w:sz w:val="22"/>
    </w:rPr>
  </w:style>
  <w:style w:type="character" w:customStyle="1" w:styleId="Prospectus-Level1Char">
    <w:name w:val="Prospectus - Level 1 Char"/>
    <w:basedOn w:val="BodyTextChar"/>
    <w:link w:val="Prospectus-Level1"/>
    <w:uiPriority w:val="78"/>
    <w:rsid w:val="000A5814"/>
    <w:rPr>
      <w:rFonts w:asciiTheme="majorHAnsi" w:hAnsiTheme="majorHAnsi" w:cstheme="majorHAnsi"/>
      <w:b/>
      <w:sz w:val="22"/>
      <w:lang w:val="en-GB"/>
    </w:rPr>
  </w:style>
  <w:style w:type="paragraph" w:customStyle="1" w:styleId="Prospectus-Level2">
    <w:name w:val="Prospectus - Level 2"/>
    <w:basedOn w:val="BodyText"/>
    <w:next w:val="BodyText"/>
    <w:link w:val="Prospectus-Level2Char"/>
    <w:uiPriority w:val="99"/>
    <w:semiHidden/>
    <w:rsid w:val="00AC033B"/>
    <w:pPr>
      <w:keepNext/>
      <w:keepLines/>
    </w:pPr>
    <w:rPr>
      <w:rFonts w:asciiTheme="majorHAnsi" w:hAnsiTheme="majorHAnsi" w:cstheme="majorHAnsi"/>
      <w:b/>
    </w:rPr>
  </w:style>
  <w:style w:type="character" w:customStyle="1" w:styleId="Prospectus-Level2Char">
    <w:name w:val="Prospectus - Level 2 Char"/>
    <w:basedOn w:val="BodyTextChar"/>
    <w:link w:val="Prospectus-Level2"/>
    <w:uiPriority w:val="78"/>
    <w:rsid w:val="000A5814"/>
    <w:rPr>
      <w:rFonts w:asciiTheme="majorHAnsi" w:hAnsiTheme="majorHAnsi" w:cstheme="majorHAnsi"/>
      <w:b/>
      <w:lang w:val="en-GB"/>
    </w:rPr>
  </w:style>
  <w:style w:type="paragraph" w:customStyle="1" w:styleId="ProspectusSummary-Level1">
    <w:name w:val="Prospectus Summary - Level 1"/>
    <w:basedOn w:val="BodyText"/>
    <w:next w:val="BodyText"/>
    <w:link w:val="ProspectusSummary-Level1Char"/>
    <w:uiPriority w:val="99"/>
    <w:semiHidden/>
    <w:rsid w:val="00AC033B"/>
    <w:pPr>
      <w:keepNext/>
      <w:keepLines/>
      <w:pBdr>
        <w:top w:val="single" w:sz="4" w:space="6" w:color="auto"/>
        <w:bottom w:val="single" w:sz="4" w:space="6" w:color="auto"/>
      </w:pBdr>
      <w:jc w:val="center"/>
    </w:pPr>
    <w:rPr>
      <w:rFonts w:asciiTheme="majorHAnsi" w:hAnsiTheme="majorHAnsi" w:cstheme="majorHAnsi"/>
      <w:b/>
      <w:sz w:val="22"/>
    </w:rPr>
  </w:style>
  <w:style w:type="character" w:customStyle="1" w:styleId="ProspectusSummary-Level1Char">
    <w:name w:val="Prospectus Summary - Level 1 Char"/>
    <w:basedOn w:val="BodyTextChar"/>
    <w:link w:val="ProspectusSummary-Level1"/>
    <w:uiPriority w:val="78"/>
    <w:rsid w:val="000A5814"/>
    <w:rPr>
      <w:rFonts w:asciiTheme="majorHAnsi" w:hAnsiTheme="majorHAnsi" w:cstheme="majorHAnsi"/>
      <w:b/>
      <w:sz w:val="22"/>
      <w:lang w:val="en-GB"/>
    </w:rPr>
  </w:style>
  <w:style w:type="paragraph" w:customStyle="1" w:styleId="ProspectusSummary-Level2">
    <w:name w:val="Prospectus Summary - Level 2"/>
    <w:basedOn w:val="BodyText"/>
    <w:next w:val="BodyText"/>
    <w:link w:val="ProspectusSummary-Level2Char"/>
    <w:uiPriority w:val="99"/>
    <w:semiHidden/>
    <w:rsid w:val="00AC033B"/>
    <w:pPr>
      <w:keepNext/>
      <w:keepLines/>
    </w:pPr>
    <w:rPr>
      <w:rFonts w:asciiTheme="majorHAnsi" w:hAnsiTheme="majorHAnsi" w:cstheme="majorHAnsi"/>
      <w:b/>
    </w:rPr>
  </w:style>
  <w:style w:type="character" w:customStyle="1" w:styleId="ProspectusSummary-Level2Char">
    <w:name w:val="Prospectus Summary - Level 2 Char"/>
    <w:basedOn w:val="BodyTextChar"/>
    <w:link w:val="ProspectusSummary-Level2"/>
    <w:uiPriority w:val="78"/>
    <w:rsid w:val="000A5814"/>
    <w:rPr>
      <w:rFonts w:asciiTheme="majorHAnsi" w:hAnsiTheme="majorHAnsi" w:cstheme="majorHAnsi"/>
      <w:b/>
      <w:lang w:val="en-GB"/>
    </w:rPr>
  </w:style>
  <w:style w:type="paragraph" w:customStyle="1" w:styleId="ScheduleHeading-Level2">
    <w:name w:val="Schedule Heading - Level 2"/>
    <w:basedOn w:val="BodyText"/>
    <w:next w:val="BodyText"/>
    <w:link w:val="ScheduleHeading-Level2Char"/>
    <w:uiPriority w:val="99"/>
    <w:semiHidden/>
    <w:rsid w:val="005E16B1"/>
    <w:pPr>
      <w:keepNext/>
      <w:keepLines/>
      <w:jc w:val="center"/>
    </w:pPr>
    <w:rPr>
      <w:b/>
    </w:rPr>
  </w:style>
  <w:style w:type="character" w:customStyle="1" w:styleId="ScheduleHeading-Level2Char">
    <w:name w:val="Schedule Heading - Level 2 Char"/>
    <w:basedOn w:val="BodyTextChar"/>
    <w:link w:val="ScheduleHeading-Level2"/>
    <w:uiPriority w:val="99"/>
    <w:semiHidden/>
    <w:rsid w:val="009C2C9B"/>
    <w:rPr>
      <w:b/>
      <w:lang w:val="en-GB"/>
    </w:rPr>
  </w:style>
  <w:style w:type="paragraph" w:customStyle="1" w:styleId="SCHEDULEHEADING-LEVEL1">
    <w:name w:val="SCHEDULE HEADING - LEVEL 1"/>
    <w:basedOn w:val="BodyText"/>
    <w:next w:val="ScheduleHeading-Level2"/>
    <w:link w:val="SCHEDULEHEADING-LEVEL1Char"/>
    <w:uiPriority w:val="99"/>
    <w:semiHidden/>
    <w:rsid w:val="005E16B1"/>
    <w:pPr>
      <w:keepNext/>
      <w:keepLines/>
      <w:jc w:val="center"/>
    </w:pPr>
    <w:rPr>
      <w:b/>
      <w:sz w:val="22"/>
    </w:rPr>
  </w:style>
  <w:style w:type="character" w:customStyle="1" w:styleId="SCHEDULEHEADING-LEVEL1Char">
    <w:name w:val="SCHEDULE HEADING - LEVEL 1 Char"/>
    <w:basedOn w:val="BodyTextChar"/>
    <w:link w:val="SCHEDULEHEADING-LEVEL1"/>
    <w:uiPriority w:val="99"/>
    <w:semiHidden/>
    <w:rsid w:val="009C2C9B"/>
    <w:rPr>
      <w:b/>
      <w:sz w:val="22"/>
      <w:lang w:val="en-GB"/>
    </w:rPr>
  </w:style>
  <w:style w:type="paragraph" w:customStyle="1" w:styleId="SchedSubHead">
    <w:name w:val="Sched SubHead"/>
    <w:basedOn w:val="BodyText"/>
    <w:next w:val="BodyText"/>
    <w:link w:val="SchedSubHeadChar"/>
    <w:uiPriority w:val="20"/>
    <w:unhideWhenUsed/>
    <w:rsid w:val="005E16B1"/>
    <w:pPr>
      <w:keepNext/>
      <w:keepLines/>
      <w:numPr>
        <w:ilvl w:val="1"/>
        <w:numId w:val="26"/>
      </w:numPr>
      <w:jc w:val="center"/>
    </w:pPr>
    <w:rPr>
      <w:rFonts w:asciiTheme="majorHAnsi" w:hAnsiTheme="majorHAnsi" w:cstheme="majorHAnsi"/>
      <w:b/>
    </w:rPr>
  </w:style>
  <w:style w:type="character" w:customStyle="1" w:styleId="SchedSubHeadChar">
    <w:name w:val="Sched SubHead Char"/>
    <w:basedOn w:val="BodyTextChar"/>
    <w:link w:val="SchedSubHead"/>
    <w:uiPriority w:val="20"/>
    <w:rsid w:val="00F32436"/>
    <w:rPr>
      <w:rFonts w:asciiTheme="majorHAnsi" w:hAnsiTheme="majorHAnsi" w:cstheme="majorHAnsi"/>
      <w:b/>
      <w:lang w:val="en-GB"/>
    </w:rPr>
  </w:style>
  <w:style w:type="paragraph" w:customStyle="1" w:styleId="SchedNumHead">
    <w:name w:val="Sched NumHead"/>
    <w:basedOn w:val="BodyText"/>
    <w:next w:val="SchedSubHead"/>
    <w:link w:val="SchedNumHeadChar"/>
    <w:uiPriority w:val="19"/>
    <w:unhideWhenUsed/>
    <w:rsid w:val="00331388"/>
    <w:pPr>
      <w:keepNext/>
      <w:keepLines/>
      <w:numPr>
        <w:numId w:val="26"/>
      </w:numPr>
      <w:jc w:val="center"/>
    </w:pPr>
    <w:rPr>
      <w:b/>
      <w:sz w:val="22"/>
    </w:rPr>
  </w:style>
  <w:style w:type="character" w:customStyle="1" w:styleId="SchedNumHeadChar">
    <w:name w:val="Sched NumHead Char"/>
    <w:basedOn w:val="BodyTextChar"/>
    <w:link w:val="SchedNumHead"/>
    <w:uiPriority w:val="19"/>
    <w:rsid w:val="00331388"/>
    <w:rPr>
      <w:b/>
      <w:sz w:val="22"/>
      <w:lang w:val="en-GB"/>
    </w:rPr>
  </w:style>
  <w:style w:type="table" w:customStyle="1" w:styleId="MOPTableStyle">
    <w:name w:val="MOPTableStyle"/>
    <w:basedOn w:val="TableSimple3"/>
    <w:rsid w:val="00925F2F"/>
    <w:pPr>
      <w:spacing w:before="120" w:after="120"/>
      <w:jc w:val="left"/>
    </w:pPr>
    <w:rPr>
      <w:rFonts w:eastAsia="Times New Roman"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wordWrap/>
        <w:spacing w:beforeLines="0" w:beforeAutospacing="0" w:afterLines="0" w:afterAutospacing="0" w:line="288" w:lineRule="auto"/>
        <w:jc w:val="left"/>
      </w:pPr>
      <w:rPr>
        <w:b/>
        <w:bCs/>
        <w:color w:val="auto"/>
      </w:rPr>
      <w:tblPr/>
      <w:tcPr>
        <w:tcBorders>
          <w:tl2br w:val="none" w:sz="0" w:space="0" w:color="auto"/>
          <w:tr2bl w:val="none" w:sz="0" w:space="0" w:color="auto"/>
        </w:tcBorders>
        <w:shd w:val="clear" w:color="auto" w:fill="C0C0C0"/>
        <w:vAlign w:val="bottom"/>
      </w:tcPr>
    </w:tblStylePr>
  </w:style>
  <w:style w:type="table" w:styleId="TableSimple3">
    <w:name w:val="Table Simple 3"/>
    <w:basedOn w:val="TableNormal"/>
    <w:uiPriority w:val="99"/>
    <w:semiHidden/>
    <w:unhideWhenUsed/>
    <w:rsid w:val="00E56CE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customStyle="1" w:styleId="SCH-LEVEL1">
    <w:name w:val="SCH - LEVEL 1"/>
    <w:basedOn w:val="BodyText"/>
    <w:next w:val="Body1"/>
    <w:link w:val="SCH-LEVEL1Char"/>
    <w:uiPriority w:val="99"/>
    <w:semiHidden/>
    <w:rsid w:val="00870A81"/>
    <w:pPr>
      <w:keepNext/>
      <w:keepLines/>
      <w:numPr>
        <w:numId w:val="33"/>
      </w:numPr>
    </w:pPr>
    <w:rPr>
      <w:b/>
      <w:sz w:val="22"/>
    </w:rPr>
  </w:style>
  <w:style w:type="character" w:customStyle="1" w:styleId="SCH-LEVEL1Char">
    <w:name w:val="SCH - LEVEL 1 Char"/>
    <w:basedOn w:val="BodyTextChar"/>
    <w:link w:val="SCH-LEVEL1"/>
    <w:uiPriority w:val="99"/>
    <w:semiHidden/>
    <w:rsid w:val="00870A81"/>
    <w:rPr>
      <w:b/>
      <w:sz w:val="22"/>
      <w:lang w:val="en-GB"/>
    </w:rPr>
  </w:style>
  <w:style w:type="paragraph" w:customStyle="1" w:styleId="SCH-LEVEL2">
    <w:name w:val="SCH - LEVEL 2"/>
    <w:basedOn w:val="BodyText"/>
    <w:next w:val="Body2"/>
    <w:link w:val="SCH-LEVEL2Char"/>
    <w:uiPriority w:val="99"/>
    <w:semiHidden/>
    <w:rsid w:val="00F85F9B"/>
    <w:pPr>
      <w:numPr>
        <w:ilvl w:val="1"/>
        <w:numId w:val="33"/>
      </w:numPr>
    </w:pPr>
  </w:style>
  <w:style w:type="character" w:customStyle="1" w:styleId="SCH-LEVEL2Char">
    <w:name w:val="SCH - LEVEL 2 Char"/>
    <w:basedOn w:val="BodyTextChar"/>
    <w:link w:val="SCH-LEVEL2"/>
    <w:uiPriority w:val="99"/>
    <w:semiHidden/>
    <w:rsid w:val="00F85F9B"/>
    <w:rPr>
      <w:lang w:val="en-GB"/>
    </w:rPr>
  </w:style>
  <w:style w:type="paragraph" w:customStyle="1" w:styleId="SCH-LEVEL3">
    <w:name w:val="SCH - LEVEL 3"/>
    <w:basedOn w:val="BodyText"/>
    <w:next w:val="Body3"/>
    <w:link w:val="SCH-LEVEL3Char"/>
    <w:uiPriority w:val="99"/>
    <w:semiHidden/>
    <w:rsid w:val="00F85F9B"/>
    <w:pPr>
      <w:numPr>
        <w:ilvl w:val="2"/>
        <w:numId w:val="33"/>
      </w:numPr>
    </w:pPr>
  </w:style>
  <w:style w:type="character" w:customStyle="1" w:styleId="SCH-LEVEL3Char">
    <w:name w:val="SCH - LEVEL 3 Char"/>
    <w:basedOn w:val="BodyTextChar"/>
    <w:link w:val="SCH-LEVEL3"/>
    <w:uiPriority w:val="99"/>
    <w:semiHidden/>
    <w:rsid w:val="00F85F9B"/>
    <w:rPr>
      <w:lang w:val="en-GB"/>
    </w:rPr>
  </w:style>
  <w:style w:type="paragraph" w:customStyle="1" w:styleId="SCH-LEVEL4">
    <w:name w:val="SCH - LEVEL 4"/>
    <w:basedOn w:val="BodyText"/>
    <w:next w:val="Body4"/>
    <w:link w:val="SCH-LEVEL4Char"/>
    <w:uiPriority w:val="99"/>
    <w:semiHidden/>
    <w:rsid w:val="00F85F9B"/>
    <w:pPr>
      <w:numPr>
        <w:ilvl w:val="3"/>
        <w:numId w:val="33"/>
      </w:numPr>
    </w:pPr>
  </w:style>
  <w:style w:type="character" w:customStyle="1" w:styleId="SCH-LEVEL4Char">
    <w:name w:val="SCH - LEVEL 4 Char"/>
    <w:basedOn w:val="BodyTextChar"/>
    <w:link w:val="SCH-LEVEL4"/>
    <w:uiPriority w:val="99"/>
    <w:semiHidden/>
    <w:rsid w:val="00F85F9B"/>
    <w:rPr>
      <w:lang w:val="en-GB"/>
    </w:rPr>
  </w:style>
  <w:style w:type="paragraph" w:customStyle="1" w:styleId="SCH-LEVEL5">
    <w:name w:val="SCH - LEVEL 5"/>
    <w:basedOn w:val="BodyText"/>
    <w:next w:val="Body5"/>
    <w:link w:val="SCH-LEVEL5Char"/>
    <w:uiPriority w:val="99"/>
    <w:semiHidden/>
    <w:rsid w:val="00F85F9B"/>
    <w:pPr>
      <w:numPr>
        <w:ilvl w:val="4"/>
        <w:numId w:val="33"/>
      </w:numPr>
    </w:pPr>
  </w:style>
  <w:style w:type="character" w:customStyle="1" w:styleId="SCH-LEVEL5Char">
    <w:name w:val="SCH - LEVEL 5 Char"/>
    <w:basedOn w:val="BodyTextChar"/>
    <w:link w:val="SCH-LEVEL5"/>
    <w:uiPriority w:val="99"/>
    <w:semiHidden/>
    <w:rsid w:val="00F85F9B"/>
    <w:rPr>
      <w:lang w:val="en-GB"/>
    </w:rPr>
  </w:style>
  <w:style w:type="paragraph" w:customStyle="1" w:styleId="SCH-LEVEL6">
    <w:name w:val="SCH - LEVEL 6"/>
    <w:basedOn w:val="BodyText"/>
    <w:next w:val="Body6"/>
    <w:link w:val="SCH-LEVEL6Char"/>
    <w:uiPriority w:val="99"/>
    <w:semiHidden/>
    <w:rsid w:val="00F85F9B"/>
    <w:pPr>
      <w:numPr>
        <w:ilvl w:val="5"/>
        <w:numId w:val="33"/>
      </w:numPr>
    </w:pPr>
  </w:style>
  <w:style w:type="character" w:customStyle="1" w:styleId="SCH-LEVEL6Char">
    <w:name w:val="SCH - LEVEL 6 Char"/>
    <w:basedOn w:val="BodyTextChar"/>
    <w:link w:val="SCH-LEVEL6"/>
    <w:uiPriority w:val="99"/>
    <w:semiHidden/>
    <w:rsid w:val="00F85F9B"/>
    <w:rPr>
      <w:lang w:val="en-GB"/>
    </w:rPr>
  </w:style>
  <w:style w:type="paragraph" w:customStyle="1" w:styleId="SCH-LEVEL7">
    <w:name w:val="SCH - LEVEL 7"/>
    <w:basedOn w:val="BodyText"/>
    <w:next w:val="Body7"/>
    <w:link w:val="SCH-LEVEL7Char"/>
    <w:uiPriority w:val="99"/>
    <w:semiHidden/>
    <w:rsid w:val="00F85F9B"/>
    <w:pPr>
      <w:numPr>
        <w:ilvl w:val="6"/>
        <w:numId w:val="33"/>
      </w:numPr>
    </w:pPr>
  </w:style>
  <w:style w:type="character" w:customStyle="1" w:styleId="SCH-LEVEL7Char">
    <w:name w:val="SCH - LEVEL 7 Char"/>
    <w:basedOn w:val="BodyTextChar"/>
    <w:link w:val="SCH-LEVEL7"/>
    <w:uiPriority w:val="99"/>
    <w:semiHidden/>
    <w:rsid w:val="00F85F9B"/>
    <w:rPr>
      <w:lang w:val="en-GB"/>
    </w:rPr>
  </w:style>
  <w:style w:type="paragraph" w:customStyle="1" w:styleId="SCH1-LEVEL1">
    <w:name w:val="SCH 1 - LEVEL 1"/>
    <w:basedOn w:val="BodyText"/>
    <w:next w:val="Body1"/>
    <w:link w:val="SCH1-LEVEL1Char"/>
    <w:uiPriority w:val="99"/>
    <w:semiHidden/>
    <w:unhideWhenUsed/>
    <w:rsid w:val="00F85F9B"/>
    <w:pPr>
      <w:keepNext/>
      <w:keepLines/>
      <w:numPr>
        <w:numId w:val="34"/>
      </w:numPr>
    </w:pPr>
    <w:rPr>
      <w:b/>
      <w:sz w:val="22"/>
    </w:rPr>
  </w:style>
  <w:style w:type="character" w:customStyle="1" w:styleId="SCH1-LEVEL1Char">
    <w:name w:val="SCH 1 - LEVEL 1 Char"/>
    <w:basedOn w:val="BodyTextChar"/>
    <w:link w:val="SCH1-LEVEL1"/>
    <w:uiPriority w:val="99"/>
    <w:semiHidden/>
    <w:rsid w:val="00F85F9B"/>
    <w:rPr>
      <w:b/>
      <w:sz w:val="22"/>
      <w:lang w:val="en-GB"/>
    </w:rPr>
  </w:style>
  <w:style w:type="paragraph" w:customStyle="1" w:styleId="SCH1-LEVEL2">
    <w:name w:val="SCH 1 - LEVEL 2"/>
    <w:basedOn w:val="BodyText"/>
    <w:next w:val="Body2"/>
    <w:link w:val="SCH1-LEVEL2Char"/>
    <w:uiPriority w:val="99"/>
    <w:semiHidden/>
    <w:unhideWhenUsed/>
    <w:rsid w:val="00F85F9B"/>
    <w:pPr>
      <w:numPr>
        <w:ilvl w:val="1"/>
        <w:numId w:val="34"/>
      </w:numPr>
    </w:pPr>
  </w:style>
  <w:style w:type="character" w:customStyle="1" w:styleId="SCH1-LEVEL2Char">
    <w:name w:val="SCH 1 - LEVEL 2 Char"/>
    <w:basedOn w:val="BodyTextChar"/>
    <w:link w:val="SCH1-LEVEL2"/>
    <w:uiPriority w:val="99"/>
    <w:semiHidden/>
    <w:rsid w:val="00F85F9B"/>
    <w:rPr>
      <w:lang w:val="en-GB"/>
    </w:rPr>
  </w:style>
  <w:style w:type="paragraph" w:customStyle="1" w:styleId="SCH1-LEVEL3">
    <w:name w:val="SCH 1 - LEVEL 3"/>
    <w:basedOn w:val="BodyText"/>
    <w:next w:val="Body3"/>
    <w:link w:val="SCH1-LEVEL3Char"/>
    <w:uiPriority w:val="99"/>
    <w:semiHidden/>
    <w:unhideWhenUsed/>
    <w:rsid w:val="00F85F9B"/>
    <w:pPr>
      <w:numPr>
        <w:ilvl w:val="2"/>
        <w:numId w:val="34"/>
      </w:numPr>
      <w:tabs>
        <w:tab w:val="left" w:pos="992"/>
      </w:tabs>
    </w:pPr>
  </w:style>
  <w:style w:type="character" w:customStyle="1" w:styleId="SCH1-LEVEL3Char">
    <w:name w:val="SCH 1 - LEVEL 3 Char"/>
    <w:basedOn w:val="BodyTextChar"/>
    <w:link w:val="SCH1-LEVEL3"/>
    <w:uiPriority w:val="99"/>
    <w:semiHidden/>
    <w:rsid w:val="00F85F9B"/>
    <w:rPr>
      <w:lang w:val="en-GB"/>
    </w:rPr>
  </w:style>
  <w:style w:type="paragraph" w:customStyle="1" w:styleId="SCH1-LEVEL4">
    <w:name w:val="SCH 1 - LEVEL 4"/>
    <w:basedOn w:val="BodyText"/>
    <w:next w:val="Body4"/>
    <w:link w:val="SCH1-LEVEL4Char"/>
    <w:uiPriority w:val="99"/>
    <w:semiHidden/>
    <w:unhideWhenUsed/>
    <w:qFormat/>
    <w:rsid w:val="00F85F9B"/>
    <w:pPr>
      <w:numPr>
        <w:ilvl w:val="3"/>
        <w:numId w:val="34"/>
      </w:numPr>
    </w:pPr>
  </w:style>
  <w:style w:type="character" w:customStyle="1" w:styleId="SCH1-LEVEL4Char">
    <w:name w:val="SCH 1 - LEVEL 4 Char"/>
    <w:basedOn w:val="BodyTextChar"/>
    <w:link w:val="SCH1-LEVEL4"/>
    <w:uiPriority w:val="99"/>
    <w:semiHidden/>
    <w:rsid w:val="00F85F9B"/>
    <w:rPr>
      <w:lang w:val="en-GB"/>
    </w:rPr>
  </w:style>
  <w:style w:type="paragraph" w:customStyle="1" w:styleId="SCH1-LEVEL5">
    <w:name w:val="SCH 1 - LEVEL 5"/>
    <w:basedOn w:val="BodyText"/>
    <w:next w:val="Body5"/>
    <w:link w:val="SCH1-LEVEL5Char"/>
    <w:uiPriority w:val="99"/>
    <w:semiHidden/>
    <w:unhideWhenUsed/>
    <w:rsid w:val="00F85F9B"/>
    <w:pPr>
      <w:numPr>
        <w:ilvl w:val="4"/>
        <w:numId w:val="34"/>
      </w:numPr>
    </w:pPr>
  </w:style>
  <w:style w:type="character" w:customStyle="1" w:styleId="SCH1-LEVEL5Char">
    <w:name w:val="SCH 1 - LEVEL 5 Char"/>
    <w:basedOn w:val="BodyTextChar"/>
    <w:link w:val="SCH1-LEVEL5"/>
    <w:uiPriority w:val="99"/>
    <w:semiHidden/>
    <w:rsid w:val="00F85F9B"/>
    <w:rPr>
      <w:lang w:val="en-GB"/>
    </w:rPr>
  </w:style>
  <w:style w:type="paragraph" w:customStyle="1" w:styleId="SCH1-LEVEL6">
    <w:name w:val="SCH 1 - LEVEL 6"/>
    <w:basedOn w:val="BodyText"/>
    <w:next w:val="Body6"/>
    <w:link w:val="SCH1-LEVEL6Char"/>
    <w:uiPriority w:val="99"/>
    <w:semiHidden/>
    <w:unhideWhenUsed/>
    <w:qFormat/>
    <w:rsid w:val="00F85F9B"/>
    <w:pPr>
      <w:numPr>
        <w:ilvl w:val="5"/>
        <w:numId w:val="34"/>
      </w:numPr>
    </w:pPr>
  </w:style>
  <w:style w:type="character" w:customStyle="1" w:styleId="SCH1-LEVEL6Char">
    <w:name w:val="SCH 1 - LEVEL 6 Char"/>
    <w:basedOn w:val="BodyTextChar"/>
    <w:link w:val="SCH1-LEVEL6"/>
    <w:uiPriority w:val="99"/>
    <w:semiHidden/>
    <w:rsid w:val="00F85F9B"/>
    <w:rPr>
      <w:lang w:val="en-GB"/>
    </w:rPr>
  </w:style>
  <w:style w:type="paragraph" w:customStyle="1" w:styleId="SCH1-LEVEL7">
    <w:name w:val="SCH 1 - LEVEL 7"/>
    <w:basedOn w:val="BodyText"/>
    <w:next w:val="Body7"/>
    <w:link w:val="SCH1-LEVEL7Char"/>
    <w:uiPriority w:val="99"/>
    <w:semiHidden/>
    <w:unhideWhenUsed/>
    <w:qFormat/>
    <w:rsid w:val="00F85F9B"/>
    <w:pPr>
      <w:numPr>
        <w:ilvl w:val="6"/>
        <w:numId w:val="34"/>
      </w:numPr>
    </w:pPr>
  </w:style>
  <w:style w:type="character" w:customStyle="1" w:styleId="SCH1-LEVEL7Char">
    <w:name w:val="SCH 1 - LEVEL 7 Char"/>
    <w:basedOn w:val="BodyTextChar"/>
    <w:link w:val="SCH1-LEVEL7"/>
    <w:uiPriority w:val="99"/>
    <w:semiHidden/>
    <w:rsid w:val="00F85F9B"/>
    <w:rPr>
      <w:lang w:val="en-GB"/>
    </w:rPr>
  </w:style>
  <w:style w:type="paragraph" w:customStyle="1" w:styleId="SCH2-LEVEL1">
    <w:name w:val="SCH 2 - LEVEL 1"/>
    <w:basedOn w:val="BodyText"/>
    <w:next w:val="Body1"/>
    <w:link w:val="SCH2-LEVEL1Char"/>
    <w:uiPriority w:val="99"/>
    <w:semiHidden/>
    <w:unhideWhenUsed/>
    <w:rsid w:val="00F85F9B"/>
    <w:pPr>
      <w:keepNext/>
      <w:keepLines/>
      <w:numPr>
        <w:numId w:val="35"/>
      </w:numPr>
    </w:pPr>
    <w:rPr>
      <w:b/>
      <w:sz w:val="22"/>
    </w:rPr>
  </w:style>
  <w:style w:type="character" w:customStyle="1" w:styleId="SCH2-LEVEL1Char">
    <w:name w:val="SCH 2 - LEVEL 1 Char"/>
    <w:basedOn w:val="BodyTextChar"/>
    <w:link w:val="SCH2-LEVEL1"/>
    <w:uiPriority w:val="99"/>
    <w:semiHidden/>
    <w:rsid w:val="00F85F9B"/>
    <w:rPr>
      <w:b/>
      <w:sz w:val="22"/>
      <w:lang w:val="en-GB"/>
    </w:rPr>
  </w:style>
  <w:style w:type="paragraph" w:customStyle="1" w:styleId="SCH2-LEVEL2">
    <w:name w:val="SCH 2 - LEVEL 2"/>
    <w:basedOn w:val="BodyText"/>
    <w:next w:val="Body2"/>
    <w:link w:val="SCH2-LEVEL2Char"/>
    <w:uiPriority w:val="99"/>
    <w:semiHidden/>
    <w:unhideWhenUsed/>
    <w:rsid w:val="00F85F9B"/>
    <w:pPr>
      <w:numPr>
        <w:ilvl w:val="1"/>
        <w:numId w:val="35"/>
      </w:numPr>
    </w:pPr>
  </w:style>
  <w:style w:type="character" w:customStyle="1" w:styleId="SCH2-LEVEL2Char">
    <w:name w:val="SCH 2 - LEVEL 2 Char"/>
    <w:basedOn w:val="BodyTextChar"/>
    <w:link w:val="SCH2-LEVEL2"/>
    <w:uiPriority w:val="99"/>
    <w:semiHidden/>
    <w:rsid w:val="00F85F9B"/>
    <w:rPr>
      <w:lang w:val="en-GB"/>
    </w:rPr>
  </w:style>
  <w:style w:type="paragraph" w:customStyle="1" w:styleId="SCH2-LEVEL3">
    <w:name w:val="SCH 2 - LEVEL 3"/>
    <w:basedOn w:val="BodyText"/>
    <w:next w:val="Body3"/>
    <w:link w:val="SCH2-LEVEL3Char"/>
    <w:uiPriority w:val="99"/>
    <w:semiHidden/>
    <w:unhideWhenUsed/>
    <w:rsid w:val="00F85F9B"/>
    <w:pPr>
      <w:numPr>
        <w:ilvl w:val="2"/>
        <w:numId w:val="35"/>
      </w:numPr>
    </w:pPr>
  </w:style>
  <w:style w:type="character" w:customStyle="1" w:styleId="SCH2-LEVEL3Char">
    <w:name w:val="SCH 2 - LEVEL 3 Char"/>
    <w:basedOn w:val="BodyTextChar"/>
    <w:link w:val="SCH2-LEVEL3"/>
    <w:uiPriority w:val="99"/>
    <w:semiHidden/>
    <w:rsid w:val="00F85F9B"/>
    <w:rPr>
      <w:lang w:val="en-GB"/>
    </w:rPr>
  </w:style>
  <w:style w:type="paragraph" w:customStyle="1" w:styleId="SCH2-LEVEL4">
    <w:name w:val="SCH 2 - LEVEL 4"/>
    <w:basedOn w:val="BodyText"/>
    <w:next w:val="Body4"/>
    <w:link w:val="SCH2-LEVEL4Char"/>
    <w:uiPriority w:val="99"/>
    <w:semiHidden/>
    <w:unhideWhenUsed/>
    <w:rsid w:val="00F85F9B"/>
    <w:pPr>
      <w:numPr>
        <w:ilvl w:val="3"/>
        <w:numId w:val="35"/>
      </w:numPr>
    </w:pPr>
  </w:style>
  <w:style w:type="character" w:customStyle="1" w:styleId="SCH2-LEVEL4Char">
    <w:name w:val="SCH 2 - LEVEL 4 Char"/>
    <w:basedOn w:val="BodyTextChar"/>
    <w:link w:val="SCH2-LEVEL4"/>
    <w:uiPriority w:val="99"/>
    <w:semiHidden/>
    <w:rsid w:val="00F85F9B"/>
    <w:rPr>
      <w:lang w:val="en-GB"/>
    </w:rPr>
  </w:style>
  <w:style w:type="paragraph" w:customStyle="1" w:styleId="SCH2-LEVEL5">
    <w:name w:val="SCH 2 - LEVEL 5"/>
    <w:basedOn w:val="BodyText"/>
    <w:next w:val="Body5"/>
    <w:link w:val="SCH2-LEVEL5Char"/>
    <w:uiPriority w:val="99"/>
    <w:semiHidden/>
    <w:unhideWhenUsed/>
    <w:rsid w:val="00F85F9B"/>
    <w:pPr>
      <w:numPr>
        <w:ilvl w:val="4"/>
        <w:numId w:val="35"/>
      </w:numPr>
    </w:pPr>
  </w:style>
  <w:style w:type="character" w:customStyle="1" w:styleId="SCH2-LEVEL5Char">
    <w:name w:val="SCH 2 - LEVEL 5 Char"/>
    <w:basedOn w:val="BodyTextChar"/>
    <w:link w:val="SCH2-LEVEL5"/>
    <w:uiPriority w:val="99"/>
    <w:semiHidden/>
    <w:rsid w:val="00F85F9B"/>
    <w:rPr>
      <w:lang w:val="en-GB"/>
    </w:rPr>
  </w:style>
  <w:style w:type="paragraph" w:customStyle="1" w:styleId="SCH2-LEVEL6">
    <w:name w:val="SCH 2 - LEVEL 6"/>
    <w:basedOn w:val="BodyText"/>
    <w:next w:val="Body6"/>
    <w:link w:val="SCH2-LEVEL6Char"/>
    <w:uiPriority w:val="99"/>
    <w:semiHidden/>
    <w:unhideWhenUsed/>
    <w:qFormat/>
    <w:rsid w:val="00F85F9B"/>
    <w:pPr>
      <w:numPr>
        <w:ilvl w:val="5"/>
        <w:numId w:val="35"/>
      </w:numPr>
    </w:pPr>
  </w:style>
  <w:style w:type="character" w:customStyle="1" w:styleId="SCH2-LEVEL6Char">
    <w:name w:val="SCH 2 - LEVEL 6 Char"/>
    <w:basedOn w:val="BodyTextChar"/>
    <w:link w:val="SCH2-LEVEL6"/>
    <w:uiPriority w:val="99"/>
    <w:semiHidden/>
    <w:rsid w:val="00F85F9B"/>
    <w:rPr>
      <w:lang w:val="en-GB"/>
    </w:rPr>
  </w:style>
  <w:style w:type="paragraph" w:customStyle="1" w:styleId="SCH2-LEVEL7">
    <w:name w:val="SCH 2 - LEVEL 7"/>
    <w:basedOn w:val="BodyText"/>
    <w:next w:val="Body7"/>
    <w:link w:val="SCH2-LEVEL7Char"/>
    <w:uiPriority w:val="99"/>
    <w:semiHidden/>
    <w:unhideWhenUsed/>
    <w:qFormat/>
    <w:rsid w:val="00F85F9B"/>
    <w:pPr>
      <w:numPr>
        <w:ilvl w:val="6"/>
        <w:numId w:val="35"/>
      </w:numPr>
    </w:pPr>
  </w:style>
  <w:style w:type="character" w:customStyle="1" w:styleId="SCH2-LEVEL7Char">
    <w:name w:val="SCH 2 - LEVEL 7 Char"/>
    <w:basedOn w:val="BodyTextChar"/>
    <w:link w:val="SCH2-LEVEL7"/>
    <w:uiPriority w:val="99"/>
    <w:semiHidden/>
    <w:rsid w:val="00F85F9B"/>
    <w:rPr>
      <w:lang w:val="en-GB"/>
    </w:rPr>
  </w:style>
  <w:style w:type="paragraph" w:customStyle="1" w:styleId="SCH3-LEVEL1">
    <w:name w:val="SCH 3 - LEVEL 1"/>
    <w:basedOn w:val="BodyText"/>
    <w:next w:val="Body1"/>
    <w:link w:val="SCH3-LEVEL1Char"/>
    <w:uiPriority w:val="99"/>
    <w:semiHidden/>
    <w:unhideWhenUsed/>
    <w:rsid w:val="00F85F9B"/>
    <w:pPr>
      <w:keepNext/>
      <w:keepLines/>
      <w:numPr>
        <w:numId w:val="36"/>
      </w:numPr>
    </w:pPr>
    <w:rPr>
      <w:b/>
      <w:sz w:val="22"/>
    </w:rPr>
  </w:style>
  <w:style w:type="character" w:customStyle="1" w:styleId="SCH3-LEVEL1Char">
    <w:name w:val="SCH 3 - LEVEL 1 Char"/>
    <w:basedOn w:val="BodyTextChar"/>
    <w:link w:val="SCH3-LEVEL1"/>
    <w:uiPriority w:val="99"/>
    <w:semiHidden/>
    <w:rsid w:val="00F85F9B"/>
    <w:rPr>
      <w:b/>
      <w:sz w:val="22"/>
      <w:lang w:val="en-GB"/>
    </w:rPr>
  </w:style>
  <w:style w:type="paragraph" w:customStyle="1" w:styleId="SCH3-LEVEL2">
    <w:name w:val="SCH 3 - LEVEL 2"/>
    <w:basedOn w:val="BodyText"/>
    <w:next w:val="Body2"/>
    <w:link w:val="SCH3-LEVEL2Char"/>
    <w:uiPriority w:val="99"/>
    <w:semiHidden/>
    <w:unhideWhenUsed/>
    <w:qFormat/>
    <w:rsid w:val="00F85F9B"/>
    <w:pPr>
      <w:numPr>
        <w:ilvl w:val="1"/>
        <w:numId w:val="36"/>
      </w:numPr>
    </w:pPr>
  </w:style>
  <w:style w:type="character" w:customStyle="1" w:styleId="SCH3-LEVEL2Char">
    <w:name w:val="SCH 3 - LEVEL 2 Char"/>
    <w:basedOn w:val="BodyTextChar"/>
    <w:link w:val="SCH3-LEVEL2"/>
    <w:uiPriority w:val="99"/>
    <w:semiHidden/>
    <w:rsid w:val="00F85F9B"/>
    <w:rPr>
      <w:lang w:val="en-GB"/>
    </w:rPr>
  </w:style>
  <w:style w:type="paragraph" w:customStyle="1" w:styleId="SCH3-LEVEL3">
    <w:name w:val="SCH 3 - LEVEL 3"/>
    <w:basedOn w:val="BodyText"/>
    <w:next w:val="Body3"/>
    <w:link w:val="SCH3-LEVEL3Char"/>
    <w:uiPriority w:val="99"/>
    <w:semiHidden/>
    <w:unhideWhenUsed/>
    <w:rsid w:val="00F85F9B"/>
    <w:pPr>
      <w:numPr>
        <w:ilvl w:val="2"/>
        <w:numId w:val="36"/>
      </w:numPr>
    </w:pPr>
  </w:style>
  <w:style w:type="character" w:customStyle="1" w:styleId="SCH3-LEVEL3Char">
    <w:name w:val="SCH 3 - LEVEL 3 Char"/>
    <w:basedOn w:val="BodyTextChar"/>
    <w:link w:val="SCH3-LEVEL3"/>
    <w:uiPriority w:val="99"/>
    <w:semiHidden/>
    <w:rsid w:val="00F85F9B"/>
    <w:rPr>
      <w:lang w:val="en-GB"/>
    </w:rPr>
  </w:style>
  <w:style w:type="paragraph" w:customStyle="1" w:styleId="SCH3-LEVEL4">
    <w:name w:val="SCH 3 - LEVEL 4"/>
    <w:basedOn w:val="BodyText"/>
    <w:next w:val="Body4"/>
    <w:link w:val="SCH3-LEVEL4Char"/>
    <w:uiPriority w:val="99"/>
    <w:semiHidden/>
    <w:unhideWhenUsed/>
    <w:rsid w:val="00F85F9B"/>
    <w:pPr>
      <w:numPr>
        <w:ilvl w:val="3"/>
        <w:numId w:val="36"/>
      </w:numPr>
    </w:pPr>
  </w:style>
  <w:style w:type="character" w:customStyle="1" w:styleId="SCH3-LEVEL4Char">
    <w:name w:val="SCH 3 - LEVEL 4 Char"/>
    <w:basedOn w:val="BodyTextChar"/>
    <w:link w:val="SCH3-LEVEL4"/>
    <w:uiPriority w:val="99"/>
    <w:semiHidden/>
    <w:rsid w:val="00F85F9B"/>
    <w:rPr>
      <w:lang w:val="en-GB"/>
    </w:rPr>
  </w:style>
  <w:style w:type="paragraph" w:customStyle="1" w:styleId="SCH3-LEVEL5">
    <w:name w:val="SCH 3 - LEVEL 5"/>
    <w:basedOn w:val="BodyText"/>
    <w:next w:val="Body5"/>
    <w:link w:val="SCH3-LEVEL5Char"/>
    <w:uiPriority w:val="99"/>
    <w:semiHidden/>
    <w:unhideWhenUsed/>
    <w:rsid w:val="00F85F9B"/>
    <w:pPr>
      <w:numPr>
        <w:ilvl w:val="4"/>
        <w:numId w:val="36"/>
      </w:numPr>
    </w:pPr>
  </w:style>
  <w:style w:type="character" w:customStyle="1" w:styleId="SCH3-LEVEL5Char">
    <w:name w:val="SCH 3 - LEVEL 5 Char"/>
    <w:basedOn w:val="BodyTextChar"/>
    <w:link w:val="SCH3-LEVEL5"/>
    <w:uiPriority w:val="99"/>
    <w:semiHidden/>
    <w:rsid w:val="00F85F9B"/>
    <w:rPr>
      <w:lang w:val="en-GB"/>
    </w:rPr>
  </w:style>
  <w:style w:type="paragraph" w:customStyle="1" w:styleId="SCH3-LEVEL6">
    <w:name w:val="SCH 3 - LEVEL 6"/>
    <w:basedOn w:val="BodyText"/>
    <w:next w:val="Body6"/>
    <w:link w:val="SCH3-LEVEL6Char"/>
    <w:uiPriority w:val="99"/>
    <w:semiHidden/>
    <w:unhideWhenUsed/>
    <w:qFormat/>
    <w:rsid w:val="00F85F9B"/>
    <w:pPr>
      <w:numPr>
        <w:ilvl w:val="5"/>
        <w:numId w:val="36"/>
      </w:numPr>
    </w:pPr>
  </w:style>
  <w:style w:type="character" w:customStyle="1" w:styleId="SCH3-LEVEL6Char">
    <w:name w:val="SCH 3 - LEVEL 6 Char"/>
    <w:basedOn w:val="BodyTextChar"/>
    <w:link w:val="SCH3-LEVEL6"/>
    <w:uiPriority w:val="99"/>
    <w:semiHidden/>
    <w:rsid w:val="00F85F9B"/>
    <w:rPr>
      <w:lang w:val="en-GB"/>
    </w:rPr>
  </w:style>
  <w:style w:type="paragraph" w:customStyle="1" w:styleId="SCH3-LEVEL7">
    <w:name w:val="SCH 3 - LEVEL 7"/>
    <w:basedOn w:val="BodyText"/>
    <w:next w:val="Body7"/>
    <w:link w:val="SCH3-LEVEL7Char"/>
    <w:uiPriority w:val="99"/>
    <w:semiHidden/>
    <w:unhideWhenUsed/>
    <w:qFormat/>
    <w:rsid w:val="00F85F9B"/>
    <w:pPr>
      <w:numPr>
        <w:ilvl w:val="6"/>
        <w:numId w:val="36"/>
      </w:numPr>
    </w:pPr>
  </w:style>
  <w:style w:type="character" w:customStyle="1" w:styleId="SCH3-LEVEL7Char">
    <w:name w:val="SCH 3 - LEVEL 7 Char"/>
    <w:basedOn w:val="BodyTextChar"/>
    <w:link w:val="SCH3-LEVEL7"/>
    <w:uiPriority w:val="99"/>
    <w:semiHidden/>
    <w:rsid w:val="00F85F9B"/>
    <w:rPr>
      <w:lang w:val="en-GB"/>
    </w:rPr>
  </w:style>
  <w:style w:type="paragraph" w:customStyle="1" w:styleId="SCH4-LEVEL1">
    <w:name w:val="SCH 4 - LEVEL 1"/>
    <w:basedOn w:val="BodyText"/>
    <w:next w:val="Body1"/>
    <w:link w:val="SCH4-LEVEL1Char"/>
    <w:uiPriority w:val="99"/>
    <w:semiHidden/>
    <w:unhideWhenUsed/>
    <w:rsid w:val="00F85F9B"/>
    <w:pPr>
      <w:keepNext/>
      <w:keepLines/>
      <w:numPr>
        <w:numId w:val="37"/>
      </w:numPr>
    </w:pPr>
    <w:rPr>
      <w:b/>
      <w:sz w:val="22"/>
    </w:rPr>
  </w:style>
  <w:style w:type="character" w:customStyle="1" w:styleId="SCH4-LEVEL1Char">
    <w:name w:val="SCH 4 - LEVEL 1 Char"/>
    <w:basedOn w:val="BodyTextChar"/>
    <w:link w:val="SCH4-LEVEL1"/>
    <w:uiPriority w:val="99"/>
    <w:semiHidden/>
    <w:rsid w:val="00F85F9B"/>
    <w:rPr>
      <w:b/>
      <w:sz w:val="22"/>
      <w:lang w:val="en-GB"/>
    </w:rPr>
  </w:style>
  <w:style w:type="paragraph" w:customStyle="1" w:styleId="SCH4-LEVEL2">
    <w:name w:val="SCH 4 - LEVEL 2"/>
    <w:basedOn w:val="BodyText"/>
    <w:next w:val="Body2"/>
    <w:link w:val="SCH4-LEVEL2Char"/>
    <w:uiPriority w:val="99"/>
    <w:semiHidden/>
    <w:unhideWhenUsed/>
    <w:rsid w:val="00F85F9B"/>
    <w:pPr>
      <w:numPr>
        <w:ilvl w:val="1"/>
        <w:numId w:val="37"/>
      </w:numPr>
    </w:pPr>
  </w:style>
  <w:style w:type="character" w:customStyle="1" w:styleId="SCH4-LEVEL2Char">
    <w:name w:val="SCH 4 - LEVEL 2 Char"/>
    <w:basedOn w:val="BodyTextChar"/>
    <w:link w:val="SCH4-LEVEL2"/>
    <w:uiPriority w:val="99"/>
    <w:semiHidden/>
    <w:rsid w:val="00F85F9B"/>
    <w:rPr>
      <w:lang w:val="en-GB"/>
    </w:rPr>
  </w:style>
  <w:style w:type="paragraph" w:customStyle="1" w:styleId="SCH4-LEVEL3">
    <w:name w:val="SCH 4 - LEVEL 3"/>
    <w:basedOn w:val="BodyText"/>
    <w:next w:val="Body3"/>
    <w:link w:val="SCH4-LEVEL3Char"/>
    <w:uiPriority w:val="99"/>
    <w:semiHidden/>
    <w:unhideWhenUsed/>
    <w:rsid w:val="00F85F9B"/>
    <w:pPr>
      <w:numPr>
        <w:ilvl w:val="2"/>
        <w:numId w:val="37"/>
      </w:numPr>
    </w:pPr>
  </w:style>
  <w:style w:type="character" w:customStyle="1" w:styleId="SCH4-LEVEL3Char">
    <w:name w:val="SCH 4 - LEVEL 3 Char"/>
    <w:basedOn w:val="BodyTextChar"/>
    <w:link w:val="SCH4-LEVEL3"/>
    <w:uiPriority w:val="99"/>
    <w:semiHidden/>
    <w:rsid w:val="00F85F9B"/>
    <w:rPr>
      <w:lang w:val="en-GB"/>
    </w:rPr>
  </w:style>
  <w:style w:type="paragraph" w:customStyle="1" w:styleId="SCH4-LEVEL4">
    <w:name w:val="SCH 4 - LEVEL 4"/>
    <w:basedOn w:val="BodyText"/>
    <w:next w:val="Body4"/>
    <w:link w:val="SCH4-LEVEL4Char"/>
    <w:uiPriority w:val="99"/>
    <w:semiHidden/>
    <w:unhideWhenUsed/>
    <w:rsid w:val="00F85F9B"/>
    <w:pPr>
      <w:numPr>
        <w:ilvl w:val="3"/>
        <w:numId w:val="37"/>
      </w:numPr>
    </w:pPr>
  </w:style>
  <w:style w:type="character" w:customStyle="1" w:styleId="SCH4-LEVEL4Char">
    <w:name w:val="SCH 4 - LEVEL 4 Char"/>
    <w:basedOn w:val="BodyTextChar"/>
    <w:link w:val="SCH4-LEVEL4"/>
    <w:uiPriority w:val="99"/>
    <w:semiHidden/>
    <w:rsid w:val="00F85F9B"/>
    <w:rPr>
      <w:lang w:val="en-GB"/>
    </w:rPr>
  </w:style>
  <w:style w:type="paragraph" w:customStyle="1" w:styleId="SCH4-LEVEL5">
    <w:name w:val="SCH 4 - LEVEL 5"/>
    <w:basedOn w:val="BodyText"/>
    <w:next w:val="Body5"/>
    <w:link w:val="SCH4-LEVEL5Char"/>
    <w:uiPriority w:val="99"/>
    <w:semiHidden/>
    <w:unhideWhenUsed/>
    <w:rsid w:val="00F85F9B"/>
    <w:pPr>
      <w:numPr>
        <w:ilvl w:val="4"/>
        <w:numId w:val="37"/>
      </w:numPr>
    </w:pPr>
  </w:style>
  <w:style w:type="character" w:customStyle="1" w:styleId="SCH4-LEVEL5Char">
    <w:name w:val="SCH 4 - LEVEL 5 Char"/>
    <w:basedOn w:val="BodyTextChar"/>
    <w:link w:val="SCH4-LEVEL5"/>
    <w:uiPriority w:val="99"/>
    <w:semiHidden/>
    <w:rsid w:val="00F85F9B"/>
    <w:rPr>
      <w:lang w:val="en-GB"/>
    </w:rPr>
  </w:style>
  <w:style w:type="paragraph" w:customStyle="1" w:styleId="SCH4-LEVEL6">
    <w:name w:val="SCH 4 - LEVEL 6"/>
    <w:basedOn w:val="BodyText"/>
    <w:next w:val="Body6"/>
    <w:link w:val="SCH4-LEVEL6Char"/>
    <w:uiPriority w:val="99"/>
    <w:semiHidden/>
    <w:unhideWhenUsed/>
    <w:qFormat/>
    <w:rsid w:val="00F85F9B"/>
    <w:pPr>
      <w:numPr>
        <w:ilvl w:val="5"/>
        <w:numId w:val="37"/>
      </w:numPr>
    </w:pPr>
  </w:style>
  <w:style w:type="character" w:customStyle="1" w:styleId="SCH4-LEVEL6Char">
    <w:name w:val="SCH 4 - LEVEL 6 Char"/>
    <w:basedOn w:val="BodyTextChar"/>
    <w:link w:val="SCH4-LEVEL6"/>
    <w:uiPriority w:val="99"/>
    <w:semiHidden/>
    <w:rsid w:val="00F85F9B"/>
    <w:rPr>
      <w:lang w:val="en-GB"/>
    </w:rPr>
  </w:style>
  <w:style w:type="paragraph" w:customStyle="1" w:styleId="SCH4-LEVEL7">
    <w:name w:val="SCH 4 - LEVEL 7"/>
    <w:basedOn w:val="BodyText"/>
    <w:next w:val="Body7"/>
    <w:link w:val="SCH4-LEVEL7Char"/>
    <w:uiPriority w:val="99"/>
    <w:semiHidden/>
    <w:unhideWhenUsed/>
    <w:qFormat/>
    <w:rsid w:val="00F85F9B"/>
    <w:pPr>
      <w:numPr>
        <w:ilvl w:val="6"/>
        <w:numId w:val="37"/>
      </w:numPr>
    </w:pPr>
  </w:style>
  <w:style w:type="character" w:customStyle="1" w:styleId="SCH4-LEVEL7Char">
    <w:name w:val="SCH 4 - LEVEL 7 Char"/>
    <w:basedOn w:val="BodyTextChar"/>
    <w:link w:val="SCH4-LEVEL7"/>
    <w:uiPriority w:val="99"/>
    <w:semiHidden/>
    <w:rsid w:val="00F85F9B"/>
    <w:rPr>
      <w:lang w:val="en-GB"/>
    </w:rPr>
  </w:style>
  <w:style w:type="paragraph" w:customStyle="1" w:styleId="SCH5-LEVEL1">
    <w:name w:val="SCH 5 - LEVEL 1"/>
    <w:basedOn w:val="BodyText"/>
    <w:next w:val="Body1"/>
    <w:link w:val="SCH5-LEVEL1Char"/>
    <w:uiPriority w:val="99"/>
    <w:semiHidden/>
    <w:unhideWhenUsed/>
    <w:rsid w:val="00F85F9B"/>
    <w:pPr>
      <w:keepNext/>
      <w:keepLines/>
      <w:numPr>
        <w:numId w:val="38"/>
      </w:numPr>
    </w:pPr>
    <w:rPr>
      <w:b/>
      <w:sz w:val="22"/>
    </w:rPr>
  </w:style>
  <w:style w:type="character" w:customStyle="1" w:styleId="SCH5-LEVEL1Char">
    <w:name w:val="SCH 5 - LEVEL 1 Char"/>
    <w:basedOn w:val="BodyTextChar"/>
    <w:link w:val="SCH5-LEVEL1"/>
    <w:uiPriority w:val="99"/>
    <w:semiHidden/>
    <w:rsid w:val="00F85F9B"/>
    <w:rPr>
      <w:b/>
      <w:sz w:val="22"/>
      <w:lang w:val="en-GB"/>
    </w:rPr>
  </w:style>
  <w:style w:type="paragraph" w:customStyle="1" w:styleId="SCH5-LEVEL2">
    <w:name w:val="SCH 5 - LEVEL 2"/>
    <w:basedOn w:val="BodyText"/>
    <w:next w:val="Body2"/>
    <w:link w:val="SCH5-LEVEL2Char"/>
    <w:uiPriority w:val="99"/>
    <w:semiHidden/>
    <w:unhideWhenUsed/>
    <w:rsid w:val="00F85F9B"/>
    <w:pPr>
      <w:numPr>
        <w:ilvl w:val="1"/>
        <w:numId w:val="38"/>
      </w:numPr>
    </w:pPr>
  </w:style>
  <w:style w:type="character" w:customStyle="1" w:styleId="SCH5-LEVEL2Char">
    <w:name w:val="SCH 5 - LEVEL 2 Char"/>
    <w:basedOn w:val="BodyTextChar"/>
    <w:link w:val="SCH5-LEVEL2"/>
    <w:uiPriority w:val="99"/>
    <w:semiHidden/>
    <w:rsid w:val="00F85F9B"/>
    <w:rPr>
      <w:lang w:val="en-GB"/>
    </w:rPr>
  </w:style>
  <w:style w:type="paragraph" w:customStyle="1" w:styleId="SCH5-LEVEL3">
    <w:name w:val="SCH 5 - LEVEL 3"/>
    <w:basedOn w:val="BodyText"/>
    <w:next w:val="Body3"/>
    <w:link w:val="SCH5-LEVEL3Char"/>
    <w:uiPriority w:val="99"/>
    <w:semiHidden/>
    <w:unhideWhenUsed/>
    <w:rsid w:val="00F85F9B"/>
    <w:pPr>
      <w:numPr>
        <w:ilvl w:val="2"/>
        <w:numId w:val="38"/>
      </w:numPr>
    </w:pPr>
  </w:style>
  <w:style w:type="character" w:customStyle="1" w:styleId="SCH5-LEVEL3Char">
    <w:name w:val="SCH 5 - LEVEL 3 Char"/>
    <w:basedOn w:val="BodyTextChar"/>
    <w:link w:val="SCH5-LEVEL3"/>
    <w:uiPriority w:val="99"/>
    <w:semiHidden/>
    <w:rsid w:val="00F85F9B"/>
    <w:rPr>
      <w:lang w:val="en-GB"/>
    </w:rPr>
  </w:style>
  <w:style w:type="paragraph" w:customStyle="1" w:styleId="SCH5-LEVEL4">
    <w:name w:val="SCH 5 - LEVEL 4"/>
    <w:basedOn w:val="BodyText"/>
    <w:next w:val="Body4"/>
    <w:link w:val="SCH5-LEVEL4Char"/>
    <w:uiPriority w:val="99"/>
    <w:semiHidden/>
    <w:unhideWhenUsed/>
    <w:rsid w:val="00F85F9B"/>
    <w:pPr>
      <w:numPr>
        <w:ilvl w:val="3"/>
        <w:numId w:val="38"/>
      </w:numPr>
    </w:pPr>
  </w:style>
  <w:style w:type="character" w:customStyle="1" w:styleId="SCH5-LEVEL4Char">
    <w:name w:val="SCH 5 - LEVEL 4 Char"/>
    <w:basedOn w:val="BodyTextChar"/>
    <w:link w:val="SCH5-LEVEL4"/>
    <w:uiPriority w:val="99"/>
    <w:semiHidden/>
    <w:rsid w:val="00F85F9B"/>
    <w:rPr>
      <w:lang w:val="en-GB"/>
    </w:rPr>
  </w:style>
  <w:style w:type="paragraph" w:customStyle="1" w:styleId="SCH5-LEVEL5">
    <w:name w:val="SCH 5 - LEVEL 5"/>
    <w:basedOn w:val="BodyText"/>
    <w:next w:val="Body5"/>
    <w:link w:val="SCH5-LEVEL5Char"/>
    <w:uiPriority w:val="99"/>
    <w:semiHidden/>
    <w:unhideWhenUsed/>
    <w:qFormat/>
    <w:rsid w:val="00F85F9B"/>
    <w:pPr>
      <w:numPr>
        <w:ilvl w:val="4"/>
        <w:numId w:val="38"/>
      </w:numPr>
    </w:pPr>
  </w:style>
  <w:style w:type="character" w:customStyle="1" w:styleId="SCH5-LEVEL5Char">
    <w:name w:val="SCH 5 - LEVEL 5 Char"/>
    <w:basedOn w:val="BodyTextChar"/>
    <w:link w:val="SCH5-LEVEL5"/>
    <w:uiPriority w:val="99"/>
    <w:semiHidden/>
    <w:rsid w:val="00F85F9B"/>
    <w:rPr>
      <w:lang w:val="en-GB"/>
    </w:rPr>
  </w:style>
  <w:style w:type="paragraph" w:customStyle="1" w:styleId="SCH5-LEVEL6">
    <w:name w:val="SCH 5 - LEVEL 6"/>
    <w:basedOn w:val="BodyText"/>
    <w:next w:val="Body6"/>
    <w:link w:val="SCH5-LEVEL6Char"/>
    <w:uiPriority w:val="99"/>
    <w:semiHidden/>
    <w:unhideWhenUsed/>
    <w:qFormat/>
    <w:rsid w:val="00F85F9B"/>
    <w:pPr>
      <w:numPr>
        <w:ilvl w:val="5"/>
        <w:numId w:val="38"/>
      </w:numPr>
    </w:pPr>
  </w:style>
  <w:style w:type="character" w:customStyle="1" w:styleId="SCH5-LEVEL6Char">
    <w:name w:val="SCH 5 - LEVEL 6 Char"/>
    <w:basedOn w:val="BodyTextChar"/>
    <w:link w:val="SCH5-LEVEL6"/>
    <w:uiPriority w:val="99"/>
    <w:semiHidden/>
    <w:rsid w:val="00F85F9B"/>
    <w:rPr>
      <w:lang w:val="en-GB"/>
    </w:rPr>
  </w:style>
  <w:style w:type="paragraph" w:customStyle="1" w:styleId="SCH5-LEVEL7">
    <w:name w:val="SCH 5 - LEVEL 7"/>
    <w:basedOn w:val="BodyText"/>
    <w:next w:val="Body7"/>
    <w:link w:val="SCH5-LEVEL7Char"/>
    <w:uiPriority w:val="99"/>
    <w:semiHidden/>
    <w:unhideWhenUsed/>
    <w:qFormat/>
    <w:rsid w:val="00F85F9B"/>
    <w:pPr>
      <w:numPr>
        <w:ilvl w:val="6"/>
        <w:numId w:val="38"/>
      </w:numPr>
    </w:pPr>
  </w:style>
  <w:style w:type="character" w:customStyle="1" w:styleId="SCH5-LEVEL7Char">
    <w:name w:val="SCH 5 - LEVEL 7 Char"/>
    <w:basedOn w:val="BodyTextChar"/>
    <w:link w:val="SCH5-LEVEL7"/>
    <w:uiPriority w:val="99"/>
    <w:semiHidden/>
    <w:rsid w:val="00F85F9B"/>
    <w:rPr>
      <w:lang w:val="en-GB"/>
    </w:rPr>
  </w:style>
  <w:style w:type="paragraph" w:customStyle="1" w:styleId="SCH6-LEVEL1">
    <w:name w:val="SCH 6 - LEVEL 1"/>
    <w:basedOn w:val="BodyText"/>
    <w:next w:val="Body1"/>
    <w:link w:val="SCH6-LEVEL1Char"/>
    <w:uiPriority w:val="99"/>
    <w:semiHidden/>
    <w:unhideWhenUsed/>
    <w:rsid w:val="00F85F9B"/>
    <w:pPr>
      <w:keepNext/>
      <w:keepLines/>
      <w:numPr>
        <w:numId w:val="39"/>
      </w:numPr>
    </w:pPr>
    <w:rPr>
      <w:b/>
      <w:sz w:val="22"/>
    </w:rPr>
  </w:style>
  <w:style w:type="character" w:customStyle="1" w:styleId="SCH6-LEVEL1Char">
    <w:name w:val="SCH 6 - LEVEL 1 Char"/>
    <w:basedOn w:val="BodyTextChar"/>
    <w:link w:val="SCH6-LEVEL1"/>
    <w:uiPriority w:val="99"/>
    <w:semiHidden/>
    <w:rsid w:val="00F85F9B"/>
    <w:rPr>
      <w:b/>
      <w:sz w:val="22"/>
      <w:lang w:val="en-GB"/>
    </w:rPr>
  </w:style>
  <w:style w:type="paragraph" w:customStyle="1" w:styleId="SCH6-LEVEL2">
    <w:name w:val="SCH 6 - LEVEL 2"/>
    <w:basedOn w:val="BodyText"/>
    <w:next w:val="Body2"/>
    <w:link w:val="SCH6-LEVEL2Char"/>
    <w:uiPriority w:val="99"/>
    <w:semiHidden/>
    <w:unhideWhenUsed/>
    <w:rsid w:val="00F85F9B"/>
    <w:pPr>
      <w:numPr>
        <w:ilvl w:val="1"/>
        <w:numId w:val="39"/>
      </w:numPr>
    </w:pPr>
  </w:style>
  <w:style w:type="character" w:customStyle="1" w:styleId="SCH6-LEVEL2Char">
    <w:name w:val="SCH 6 - LEVEL 2 Char"/>
    <w:basedOn w:val="BodyTextChar"/>
    <w:link w:val="SCH6-LEVEL2"/>
    <w:uiPriority w:val="99"/>
    <w:semiHidden/>
    <w:rsid w:val="00F85F9B"/>
    <w:rPr>
      <w:lang w:val="en-GB"/>
    </w:rPr>
  </w:style>
  <w:style w:type="paragraph" w:customStyle="1" w:styleId="SCH6-LEVEL3">
    <w:name w:val="SCH 6 - LEVEL 3"/>
    <w:basedOn w:val="BodyText"/>
    <w:next w:val="Body3"/>
    <w:link w:val="SCH6-LEVEL3Char"/>
    <w:uiPriority w:val="99"/>
    <w:semiHidden/>
    <w:unhideWhenUsed/>
    <w:rsid w:val="00F85F9B"/>
    <w:pPr>
      <w:numPr>
        <w:ilvl w:val="2"/>
        <w:numId w:val="39"/>
      </w:numPr>
    </w:pPr>
  </w:style>
  <w:style w:type="character" w:customStyle="1" w:styleId="SCH6-LEVEL3Char">
    <w:name w:val="SCH 6 - LEVEL 3 Char"/>
    <w:basedOn w:val="BodyTextChar"/>
    <w:link w:val="SCH6-LEVEL3"/>
    <w:uiPriority w:val="99"/>
    <w:semiHidden/>
    <w:rsid w:val="00F85F9B"/>
    <w:rPr>
      <w:lang w:val="en-GB"/>
    </w:rPr>
  </w:style>
  <w:style w:type="paragraph" w:customStyle="1" w:styleId="SCH6-LEVEL4">
    <w:name w:val="SCH 6 - LEVEL 4"/>
    <w:basedOn w:val="BodyText"/>
    <w:next w:val="Body4"/>
    <w:link w:val="SCH6-LEVEL4Char"/>
    <w:uiPriority w:val="99"/>
    <w:semiHidden/>
    <w:unhideWhenUsed/>
    <w:rsid w:val="00F85F9B"/>
    <w:pPr>
      <w:numPr>
        <w:ilvl w:val="3"/>
        <w:numId w:val="39"/>
      </w:numPr>
    </w:pPr>
  </w:style>
  <w:style w:type="character" w:customStyle="1" w:styleId="SCH6-LEVEL4Char">
    <w:name w:val="SCH 6 - LEVEL 4 Char"/>
    <w:basedOn w:val="BodyTextChar"/>
    <w:link w:val="SCH6-LEVEL4"/>
    <w:uiPriority w:val="99"/>
    <w:semiHidden/>
    <w:rsid w:val="00F85F9B"/>
    <w:rPr>
      <w:lang w:val="en-GB"/>
    </w:rPr>
  </w:style>
  <w:style w:type="paragraph" w:customStyle="1" w:styleId="SCH6-LEVEL5">
    <w:name w:val="SCH 6 - LEVEL 5"/>
    <w:basedOn w:val="BodyText"/>
    <w:next w:val="Body5"/>
    <w:link w:val="SCH6-LEVEL5Char"/>
    <w:uiPriority w:val="99"/>
    <w:semiHidden/>
    <w:unhideWhenUsed/>
    <w:rsid w:val="00F85F9B"/>
    <w:pPr>
      <w:numPr>
        <w:ilvl w:val="4"/>
        <w:numId w:val="39"/>
      </w:numPr>
    </w:pPr>
  </w:style>
  <w:style w:type="character" w:customStyle="1" w:styleId="SCH6-LEVEL5Char">
    <w:name w:val="SCH 6 - LEVEL 5 Char"/>
    <w:basedOn w:val="BodyTextChar"/>
    <w:link w:val="SCH6-LEVEL5"/>
    <w:uiPriority w:val="99"/>
    <w:semiHidden/>
    <w:rsid w:val="00F85F9B"/>
    <w:rPr>
      <w:lang w:val="en-GB"/>
    </w:rPr>
  </w:style>
  <w:style w:type="paragraph" w:customStyle="1" w:styleId="SCH6-LEVEL6">
    <w:name w:val="SCH 6 - LEVEL 6"/>
    <w:basedOn w:val="BodyText"/>
    <w:next w:val="Body6"/>
    <w:link w:val="SCH6-LEVEL6Char"/>
    <w:uiPriority w:val="99"/>
    <w:semiHidden/>
    <w:unhideWhenUsed/>
    <w:qFormat/>
    <w:rsid w:val="00F85F9B"/>
    <w:pPr>
      <w:numPr>
        <w:ilvl w:val="5"/>
        <w:numId w:val="39"/>
      </w:numPr>
    </w:pPr>
  </w:style>
  <w:style w:type="character" w:customStyle="1" w:styleId="SCH6-LEVEL6Char">
    <w:name w:val="SCH 6 - LEVEL 6 Char"/>
    <w:basedOn w:val="BodyTextChar"/>
    <w:link w:val="SCH6-LEVEL6"/>
    <w:uiPriority w:val="99"/>
    <w:semiHidden/>
    <w:rsid w:val="00F85F9B"/>
    <w:rPr>
      <w:lang w:val="en-GB"/>
    </w:rPr>
  </w:style>
  <w:style w:type="paragraph" w:customStyle="1" w:styleId="SCH6-LEVEL7">
    <w:name w:val="SCH 6 - LEVEL 7"/>
    <w:basedOn w:val="BodyText"/>
    <w:next w:val="Body7"/>
    <w:link w:val="SCH6-LEVEL7Char"/>
    <w:uiPriority w:val="99"/>
    <w:semiHidden/>
    <w:unhideWhenUsed/>
    <w:qFormat/>
    <w:rsid w:val="00F85F9B"/>
    <w:pPr>
      <w:numPr>
        <w:ilvl w:val="6"/>
        <w:numId w:val="39"/>
      </w:numPr>
    </w:pPr>
  </w:style>
  <w:style w:type="character" w:customStyle="1" w:styleId="SCH6-LEVEL7Char">
    <w:name w:val="SCH 6 - LEVEL 7 Char"/>
    <w:basedOn w:val="BodyTextChar"/>
    <w:link w:val="SCH6-LEVEL7"/>
    <w:uiPriority w:val="99"/>
    <w:semiHidden/>
    <w:rsid w:val="00F85F9B"/>
    <w:rPr>
      <w:lang w:val="en-GB"/>
    </w:rPr>
  </w:style>
  <w:style w:type="paragraph" w:customStyle="1" w:styleId="SCH7-LEVEL1">
    <w:name w:val="SCH 7 - LEVEL 1"/>
    <w:basedOn w:val="BodyText"/>
    <w:next w:val="Body1"/>
    <w:link w:val="SCH7-LEVEL1Char"/>
    <w:uiPriority w:val="99"/>
    <w:semiHidden/>
    <w:unhideWhenUsed/>
    <w:rsid w:val="00F85F9B"/>
    <w:pPr>
      <w:keepNext/>
      <w:keepLines/>
      <w:numPr>
        <w:numId w:val="42"/>
      </w:numPr>
    </w:pPr>
    <w:rPr>
      <w:b/>
      <w:sz w:val="22"/>
    </w:rPr>
  </w:style>
  <w:style w:type="character" w:customStyle="1" w:styleId="SCH7-LEVEL1Char">
    <w:name w:val="SCH 7 - LEVEL 1 Char"/>
    <w:basedOn w:val="BodyTextChar"/>
    <w:link w:val="SCH7-LEVEL1"/>
    <w:uiPriority w:val="99"/>
    <w:semiHidden/>
    <w:rsid w:val="00F85F9B"/>
    <w:rPr>
      <w:b/>
      <w:sz w:val="22"/>
      <w:lang w:val="en-GB"/>
    </w:rPr>
  </w:style>
  <w:style w:type="paragraph" w:customStyle="1" w:styleId="SCH7-LEVEL2">
    <w:name w:val="SCH 7 - LEVEL 2"/>
    <w:basedOn w:val="BodyText"/>
    <w:next w:val="Body2"/>
    <w:link w:val="SCH7-LEVEL2Char"/>
    <w:uiPriority w:val="99"/>
    <w:semiHidden/>
    <w:unhideWhenUsed/>
    <w:rsid w:val="00F85F9B"/>
    <w:pPr>
      <w:numPr>
        <w:ilvl w:val="1"/>
        <w:numId w:val="42"/>
      </w:numPr>
    </w:pPr>
  </w:style>
  <w:style w:type="character" w:customStyle="1" w:styleId="SCH7-LEVEL2Char">
    <w:name w:val="SCH 7 - LEVEL 2 Char"/>
    <w:basedOn w:val="BodyTextChar"/>
    <w:link w:val="SCH7-LEVEL2"/>
    <w:uiPriority w:val="99"/>
    <w:semiHidden/>
    <w:rsid w:val="00F85F9B"/>
    <w:rPr>
      <w:lang w:val="en-GB"/>
    </w:rPr>
  </w:style>
  <w:style w:type="paragraph" w:customStyle="1" w:styleId="SCH7-LEVEL3">
    <w:name w:val="SCH 7 - LEVEL 3"/>
    <w:basedOn w:val="BodyText"/>
    <w:next w:val="Body3"/>
    <w:link w:val="SCH7-LEVEL3Char"/>
    <w:uiPriority w:val="99"/>
    <w:semiHidden/>
    <w:unhideWhenUsed/>
    <w:rsid w:val="00F85F9B"/>
    <w:pPr>
      <w:numPr>
        <w:ilvl w:val="2"/>
        <w:numId w:val="42"/>
      </w:numPr>
    </w:pPr>
  </w:style>
  <w:style w:type="character" w:customStyle="1" w:styleId="SCH7-LEVEL3Char">
    <w:name w:val="SCH 7 - LEVEL 3 Char"/>
    <w:basedOn w:val="BodyTextChar"/>
    <w:link w:val="SCH7-LEVEL3"/>
    <w:uiPriority w:val="99"/>
    <w:semiHidden/>
    <w:rsid w:val="00F85F9B"/>
    <w:rPr>
      <w:lang w:val="en-GB"/>
    </w:rPr>
  </w:style>
  <w:style w:type="paragraph" w:customStyle="1" w:styleId="SCH7-LEVEL4">
    <w:name w:val="SCH 7 - LEVEL 4"/>
    <w:basedOn w:val="BodyText"/>
    <w:next w:val="Body4"/>
    <w:link w:val="SCH7-LEVEL4Char"/>
    <w:uiPriority w:val="99"/>
    <w:semiHidden/>
    <w:unhideWhenUsed/>
    <w:rsid w:val="00F85F9B"/>
    <w:pPr>
      <w:numPr>
        <w:ilvl w:val="3"/>
        <w:numId w:val="42"/>
      </w:numPr>
    </w:pPr>
  </w:style>
  <w:style w:type="character" w:customStyle="1" w:styleId="SCH7-LEVEL4Char">
    <w:name w:val="SCH 7 - LEVEL 4 Char"/>
    <w:basedOn w:val="BodyTextChar"/>
    <w:link w:val="SCH7-LEVEL4"/>
    <w:uiPriority w:val="99"/>
    <w:semiHidden/>
    <w:rsid w:val="00F85F9B"/>
    <w:rPr>
      <w:lang w:val="en-GB"/>
    </w:rPr>
  </w:style>
  <w:style w:type="paragraph" w:customStyle="1" w:styleId="SCH7-LEVEL7">
    <w:name w:val="SCH 7 - LEVEL 7"/>
    <w:basedOn w:val="BodyText"/>
    <w:next w:val="Body7"/>
    <w:link w:val="SCH7-LEVEL7Char"/>
    <w:uiPriority w:val="99"/>
    <w:semiHidden/>
    <w:unhideWhenUsed/>
    <w:qFormat/>
    <w:rsid w:val="00F85F9B"/>
    <w:pPr>
      <w:numPr>
        <w:ilvl w:val="6"/>
        <w:numId w:val="42"/>
      </w:numPr>
    </w:pPr>
  </w:style>
  <w:style w:type="character" w:customStyle="1" w:styleId="SCH7-LEVEL7Char">
    <w:name w:val="SCH 7 - LEVEL 7 Char"/>
    <w:basedOn w:val="BodyTextChar"/>
    <w:link w:val="SCH7-LEVEL7"/>
    <w:uiPriority w:val="99"/>
    <w:semiHidden/>
    <w:rsid w:val="00F85F9B"/>
    <w:rPr>
      <w:lang w:val="en-GB"/>
    </w:rPr>
  </w:style>
  <w:style w:type="paragraph" w:customStyle="1" w:styleId="SCH8-LEVEL1">
    <w:name w:val="SCH 8 - LEVEL 1"/>
    <w:basedOn w:val="BodyText"/>
    <w:next w:val="Body1"/>
    <w:link w:val="SCH8-LEVEL1Char"/>
    <w:uiPriority w:val="99"/>
    <w:semiHidden/>
    <w:unhideWhenUsed/>
    <w:rsid w:val="00F85F9B"/>
    <w:pPr>
      <w:keepNext/>
      <w:keepLines/>
      <w:numPr>
        <w:numId w:val="40"/>
      </w:numPr>
    </w:pPr>
    <w:rPr>
      <w:b/>
      <w:sz w:val="22"/>
    </w:rPr>
  </w:style>
  <w:style w:type="character" w:customStyle="1" w:styleId="SCH8-LEVEL1Char">
    <w:name w:val="SCH 8 - LEVEL 1 Char"/>
    <w:basedOn w:val="BodyTextChar"/>
    <w:link w:val="SCH8-LEVEL1"/>
    <w:uiPriority w:val="99"/>
    <w:semiHidden/>
    <w:rsid w:val="00F85F9B"/>
    <w:rPr>
      <w:b/>
      <w:sz w:val="22"/>
      <w:lang w:val="en-GB"/>
    </w:rPr>
  </w:style>
  <w:style w:type="paragraph" w:customStyle="1" w:styleId="SCH8-LEVEL2">
    <w:name w:val="SCH 8 - LEVEL 2"/>
    <w:basedOn w:val="BodyText"/>
    <w:next w:val="Body2"/>
    <w:link w:val="SCH8-LEVEL2Char"/>
    <w:uiPriority w:val="99"/>
    <w:semiHidden/>
    <w:unhideWhenUsed/>
    <w:rsid w:val="00F85F9B"/>
    <w:pPr>
      <w:numPr>
        <w:ilvl w:val="1"/>
        <w:numId w:val="40"/>
      </w:numPr>
    </w:pPr>
  </w:style>
  <w:style w:type="character" w:customStyle="1" w:styleId="SCH8-LEVEL2Char">
    <w:name w:val="SCH 8 - LEVEL 2 Char"/>
    <w:basedOn w:val="BodyTextChar"/>
    <w:link w:val="SCH8-LEVEL2"/>
    <w:uiPriority w:val="99"/>
    <w:semiHidden/>
    <w:rsid w:val="00F85F9B"/>
    <w:rPr>
      <w:lang w:val="en-GB"/>
    </w:rPr>
  </w:style>
  <w:style w:type="paragraph" w:customStyle="1" w:styleId="SCH8-LEVEL3">
    <w:name w:val="SCH 8 - LEVEL 3"/>
    <w:basedOn w:val="BodyText"/>
    <w:next w:val="Body3"/>
    <w:link w:val="SCH8-LEVEL3Char"/>
    <w:uiPriority w:val="99"/>
    <w:semiHidden/>
    <w:unhideWhenUsed/>
    <w:rsid w:val="00F85F9B"/>
    <w:pPr>
      <w:numPr>
        <w:ilvl w:val="2"/>
        <w:numId w:val="40"/>
      </w:numPr>
    </w:pPr>
  </w:style>
  <w:style w:type="character" w:customStyle="1" w:styleId="SCH8-LEVEL3Char">
    <w:name w:val="SCH 8 - LEVEL 3 Char"/>
    <w:basedOn w:val="BodyTextChar"/>
    <w:link w:val="SCH8-LEVEL3"/>
    <w:uiPriority w:val="99"/>
    <w:semiHidden/>
    <w:rsid w:val="00F85F9B"/>
    <w:rPr>
      <w:lang w:val="en-GB"/>
    </w:rPr>
  </w:style>
  <w:style w:type="paragraph" w:customStyle="1" w:styleId="SCH8-LEVEL4">
    <w:name w:val="SCH 8 - LEVEL 4"/>
    <w:basedOn w:val="BodyText"/>
    <w:next w:val="Body4"/>
    <w:link w:val="SCH8-LEVEL4Char"/>
    <w:uiPriority w:val="99"/>
    <w:semiHidden/>
    <w:unhideWhenUsed/>
    <w:rsid w:val="00F85F9B"/>
    <w:pPr>
      <w:numPr>
        <w:ilvl w:val="3"/>
        <w:numId w:val="40"/>
      </w:numPr>
    </w:pPr>
  </w:style>
  <w:style w:type="character" w:customStyle="1" w:styleId="SCH8-LEVEL4Char">
    <w:name w:val="SCH 8 - LEVEL 4 Char"/>
    <w:basedOn w:val="BodyTextChar"/>
    <w:link w:val="SCH8-LEVEL4"/>
    <w:uiPriority w:val="99"/>
    <w:semiHidden/>
    <w:rsid w:val="00F85F9B"/>
    <w:rPr>
      <w:lang w:val="en-GB"/>
    </w:rPr>
  </w:style>
  <w:style w:type="paragraph" w:customStyle="1" w:styleId="SCH8-LEVEL5">
    <w:name w:val="SCH 8 - LEVEL 5"/>
    <w:basedOn w:val="BodyText"/>
    <w:next w:val="Body5"/>
    <w:link w:val="SCH8-LEVEL5Char"/>
    <w:uiPriority w:val="99"/>
    <w:semiHidden/>
    <w:unhideWhenUsed/>
    <w:rsid w:val="00F85F9B"/>
    <w:pPr>
      <w:numPr>
        <w:ilvl w:val="4"/>
        <w:numId w:val="40"/>
      </w:numPr>
    </w:pPr>
  </w:style>
  <w:style w:type="character" w:customStyle="1" w:styleId="SCH8-LEVEL5Char">
    <w:name w:val="SCH 8 - LEVEL 5 Char"/>
    <w:basedOn w:val="BodyTextChar"/>
    <w:link w:val="SCH8-LEVEL5"/>
    <w:uiPriority w:val="99"/>
    <w:semiHidden/>
    <w:rsid w:val="00F85F9B"/>
    <w:rPr>
      <w:lang w:val="en-GB"/>
    </w:rPr>
  </w:style>
  <w:style w:type="paragraph" w:customStyle="1" w:styleId="SCH8-LEVEL6">
    <w:name w:val="SCH 8 - LEVEL 6"/>
    <w:basedOn w:val="BodyText"/>
    <w:next w:val="Body6"/>
    <w:link w:val="SCH8-LEVEL6Char"/>
    <w:uiPriority w:val="99"/>
    <w:semiHidden/>
    <w:unhideWhenUsed/>
    <w:qFormat/>
    <w:rsid w:val="0034281C"/>
    <w:pPr>
      <w:numPr>
        <w:ilvl w:val="5"/>
        <w:numId w:val="40"/>
      </w:numPr>
    </w:pPr>
  </w:style>
  <w:style w:type="character" w:customStyle="1" w:styleId="SCH8-LEVEL6Char">
    <w:name w:val="SCH 8 - LEVEL 6 Char"/>
    <w:basedOn w:val="BodyTextChar"/>
    <w:link w:val="SCH8-LEVEL6"/>
    <w:uiPriority w:val="99"/>
    <w:semiHidden/>
    <w:rsid w:val="0034281C"/>
    <w:rPr>
      <w:lang w:val="en-GB"/>
    </w:rPr>
  </w:style>
  <w:style w:type="paragraph" w:customStyle="1" w:styleId="SCH8-LEVEL7">
    <w:name w:val="SCH 8 - LEVEL 7"/>
    <w:basedOn w:val="BodyText"/>
    <w:next w:val="Body7"/>
    <w:link w:val="SCH8-LEVEL7Char"/>
    <w:uiPriority w:val="99"/>
    <w:semiHidden/>
    <w:unhideWhenUsed/>
    <w:qFormat/>
    <w:rsid w:val="00F654B1"/>
    <w:pPr>
      <w:numPr>
        <w:ilvl w:val="6"/>
        <w:numId w:val="40"/>
      </w:numPr>
    </w:pPr>
  </w:style>
  <w:style w:type="character" w:customStyle="1" w:styleId="SCH8-LEVEL7Char">
    <w:name w:val="SCH 8 - LEVEL 7 Char"/>
    <w:basedOn w:val="BodyTextChar"/>
    <w:link w:val="SCH8-LEVEL7"/>
    <w:uiPriority w:val="99"/>
    <w:semiHidden/>
    <w:rsid w:val="00F654B1"/>
    <w:rPr>
      <w:lang w:val="en-GB"/>
    </w:rPr>
  </w:style>
  <w:style w:type="paragraph" w:customStyle="1" w:styleId="SCH9-LEVEL1">
    <w:name w:val="SCH 9 - LEVEL 1"/>
    <w:basedOn w:val="BodyText"/>
    <w:next w:val="Body1"/>
    <w:link w:val="SCH9-LEVEL1Char"/>
    <w:uiPriority w:val="99"/>
    <w:semiHidden/>
    <w:unhideWhenUsed/>
    <w:rsid w:val="00FB7EA3"/>
    <w:pPr>
      <w:keepNext/>
      <w:keepLines/>
      <w:numPr>
        <w:numId w:val="41"/>
      </w:numPr>
    </w:pPr>
    <w:rPr>
      <w:b/>
      <w:sz w:val="22"/>
    </w:rPr>
  </w:style>
  <w:style w:type="character" w:customStyle="1" w:styleId="SCH9-LEVEL1Char">
    <w:name w:val="SCH 9 - LEVEL 1 Char"/>
    <w:basedOn w:val="BodyTextChar"/>
    <w:link w:val="SCH9-LEVEL1"/>
    <w:uiPriority w:val="99"/>
    <w:semiHidden/>
    <w:rsid w:val="00FB7EA3"/>
    <w:rPr>
      <w:b/>
      <w:sz w:val="22"/>
      <w:lang w:val="en-GB"/>
    </w:rPr>
  </w:style>
  <w:style w:type="paragraph" w:customStyle="1" w:styleId="SCH9-LEVEL2">
    <w:name w:val="SCH 9 - LEVEL 2"/>
    <w:basedOn w:val="BodyText"/>
    <w:next w:val="Body2"/>
    <w:link w:val="SCH9-LEVEL2Char"/>
    <w:uiPriority w:val="99"/>
    <w:semiHidden/>
    <w:unhideWhenUsed/>
    <w:rsid w:val="00FB7EA3"/>
    <w:pPr>
      <w:numPr>
        <w:ilvl w:val="1"/>
        <w:numId w:val="41"/>
      </w:numPr>
    </w:pPr>
  </w:style>
  <w:style w:type="character" w:customStyle="1" w:styleId="SCH9-LEVEL2Char">
    <w:name w:val="SCH 9 - LEVEL 2 Char"/>
    <w:basedOn w:val="BodyTextChar"/>
    <w:link w:val="SCH9-LEVEL2"/>
    <w:uiPriority w:val="99"/>
    <w:semiHidden/>
    <w:rsid w:val="00FB7EA3"/>
    <w:rPr>
      <w:lang w:val="en-GB"/>
    </w:rPr>
  </w:style>
  <w:style w:type="paragraph" w:customStyle="1" w:styleId="SCH9-LEVEL3">
    <w:name w:val="SCH 9 - LEVEL 3"/>
    <w:basedOn w:val="BodyText"/>
    <w:next w:val="Body3"/>
    <w:link w:val="SCH9-LEVEL3Char"/>
    <w:uiPriority w:val="99"/>
    <w:semiHidden/>
    <w:unhideWhenUsed/>
    <w:qFormat/>
    <w:rsid w:val="00F654B1"/>
    <w:pPr>
      <w:numPr>
        <w:ilvl w:val="2"/>
        <w:numId w:val="41"/>
      </w:numPr>
    </w:pPr>
  </w:style>
  <w:style w:type="character" w:customStyle="1" w:styleId="SCH9-LEVEL3Char">
    <w:name w:val="SCH 9 - LEVEL 3 Char"/>
    <w:basedOn w:val="BodyTextChar"/>
    <w:link w:val="SCH9-LEVEL3"/>
    <w:uiPriority w:val="99"/>
    <w:semiHidden/>
    <w:rsid w:val="00F654B1"/>
    <w:rPr>
      <w:lang w:val="en-GB"/>
    </w:rPr>
  </w:style>
  <w:style w:type="paragraph" w:customStyle="1" w:styleId="SCH9-LEVEL4">
    <w:name w:val="SCH 9 - LEVEL 4"/>
    <w:basedOn w:val="BodyText"/>
    <w:next w:val="Body4"/>
    <w:link w:val="SCH9-LEVEL4Char"/>
    <w:uiPriority w:val="99"/>
    <w:semiHidden/>
    <w:unhideWhenUsed/>
    <w:qFormat/>
    <w:rsid w:val="00F654B1"/>
    <w:pPr>
      <w:numPr>
        <w:ilvl w:val="3"/>
        <w:numId w:val="41"/>
      </w:numPr>
      <w:tabs>
        <w:tab w:val="clear" w:pos="2126"/>
        <w:tab w:val="num" w:pos="709"/>
      </w:tabs>
    </w:pPr>
  </w:style>
  <w:style w:type="character" w:customStyle="1" w:styleId="SCH9-LEVEL4Char">
    <w:name w:val="SCH 9 - LEVEL 4 Char"/>
    <w:basedOn w:val="BodyTextChar"/>
    <w:link w:val="SCH9-LEVEL4"/>
    <w:uiPriority w:val="99"/>
    <w:semiHidden/>
    <w:rsid w:val="00F654B1"/>
    <w:rPr>
      <w:lang w:val="en-GB"/>
    </w:rPr>
  </w:style>
  <w:style w:type="paragraph" w:customStyle="1" w:styleId="SCH9-LEVEL5">
    <w:name w:val="SCH 9 - LEVEL 5"/>
    <w:basedOn w:val="BodyText"/>
    <w:next w:val="Body5"/>
    <w:link w:val="SCH9-LEVEL5Char"/>
    <w:uiPriority w:val="99"/>
    <w:semiHidden/>
    <w:unhideWhenUsed/>
    <w:qFormat/>
    <w:rsid w:val="00F654B1"/>
    <w:pPr>
      <w:numPr>
        <w:ilvl w:val="4"/>
        <w:numId w:val="41"/>
      </w:numPr>
      <w:tabs>
        <w:tab w:val="clear" w:pos="2835"/>
        <w:tab w:val="left" w:pos="709"/>
      </w:tabs>
    </w:pPr>
  </w:style>
  <w:style w:type="character" w:customStyle="1" w:styleId="SCH9-LEVEL5Char">
    <w:name w:val="SCH 9 - LEVEL 5 Char"/>
    <w:basedOn w:val="BodyTextChar"/>
    <w:link w:val="SCH9-LEVEL5"/>
    <w:uiPriority w:val="99"/>
    <w:semiHidden/>
    <w:rsid w:val="00F654B1"/>
    <w:rPr>
      <w:lang w:val="en-GB"/>
    </w:rPr>
  </w:style>
  <w:style w:type="paragraph" w:customStyle="1" w:styleId="SCH9-LEVEL6">
    <w:name w:val="SCH 9 - LEVEL 6"/>
    <w:basedOn w:val="BodyText"/>
    <w:next w:val="Body6"/>
    <w:link w:val="SCH9-LEVEL6Char"/>
    <w:uiPriority w:val="99"/>
    <w:semiHidden/>
    <w:unhideWhenUsed/>
    <w:qFormat/>
    <w:rsid w:val="00F654B1"/>
    <w:pPr>
      <w:numPr>
        <w:ilvl w:val="5"/>
        <w:numId w:val="41"/>
      </w:numPr>
      <w:tabs>
        <w:tab w:val="clear" w:pos="3543"/>
        <w:tab w:val="num" w:pos="709"/>
      </w:tabs>
    </w:pPr>
  </w:style>
  <w:style w:type="character" w:customStyle="1" w:styleId="SCH9-LEVEL6Char">
    <w:name w:val="SCH 9 - LEVEL 6 Char"/>
    <w:basedOn w:val="BodyTextChar"/>
    <w:link w:val="SCH9-LEVEL6"/>
    <w:uiPriority w:val="99"/>
    <w:semiHidden/>
    <w:rsid w:val="00F654B1"/>
    <w:rPr>
      <w:lang w:val="en-GB"/>
    </w:rPr>
  </w:style>
  <w:style w:type="paragraph" w:customStyle="1" w:styleId="SCH9-LEVEL7">
    <w:name w:val="SCH 9 - LEVEL 7"/>
    <w:basedOn w:val="BodyText"/>
    <w:next w:val="Body7"/>
    <w:link w:val="SCH9-LEVEL7Char"/>
    <w:uiPriority w:val="99"/>
    <w:semiHidden/>
    <w:unhideWhenUsed/>
    <w:qFormat/>
    <w:rsid w:val="00F654B1"/>
    <w:pPr>
      <w:numPr>
        <w:ilvl w:val="6"/>
        <w:numId w:val="41"/>
      </w:numPr>
      <w:tabs>
        <w:tab w:val="clear" w:pos="3827"/>
        <w:tab w:val="left" w:pos="709"/>
      </w:tabs>
    </w:pPr>
  </w:style>
  <w:style w:type="character" w:customStyle="1" w:styleId="SCH9-LEVEL7Char">
    <w:name w:val="SCH 9 - LEVEL 7 Char"/>
    <w:basedOn w:val="BodyTextChar"/>
    <w:link w:val="SCH9-LEVEL7"/>
    <w:uiPriority w:val="99"/>
    <w:semiHidden/>
    <w:rsid w:val="00F654B1"/>
    <w:rPr>
      <w:lang w:val="en-GB"/>
    </w:rPr>
  </w:style>
  <w:style w:type="paragraph" w:customStyle="1" w:styleId="SCH-SUBHEAD">
    <w:name w:val="SCH - SUB HEAD"/>
    <w:basedOn w:val="BodyText"/>
    <w:next w:val="BodyText"/>
    <w:link w:val="SCH-SUBHEADChar"/>
    <w:uiPriority w:val="99"/>
    <w:semiHidden/>
    <w:rsid w:val="0038198C"/>
    <w:pPr>
      <w:keepNext/>
      <w:keepLines/>
      <w:numPr>
        <w:ilvl w:val="1"/>
        <w:numId w:val="16"/>
      </w:numPr>
      <w:jc w:val="center"/>
    </w:pPr>
    <w:rPr>
      <w:b/>
    </w:rPr>
  </w:style>
  <w:style w:type="character" w:customStyle="1" w:styleId="SCH-SUBHEADChar">
    <w:name w:val="SCH - SUB HEAD Char"/>
    <w:basedOn w:val="BodyTextChar"/>
    <w:link w:val="SCH-SUBHEAD"/>
    <w:uiPriority w:val="99"/>
    <w:semiHidden/>
    <w:rsid w:val="009C2C9B"/>
    <w:rPr>
      <w:b/>
      <w:lang w:val="en-GB"/>
    </w:rPr>
  </w:style>
  <w:style w:type="paragraph" w:customStyle="1" w:styleId="SCH-MAINHEAD">
    <w:name w:val="SCH - MAIN HEAD"/>
    <w:basedOn w:val="BodyText"/>
    <w:next w:val="SCH-SUBHEAD"/>
    <w:link w:val="SCH-MAINHEADChar"/>
    <w:uiPriority w:val="99"/>
    <w:semiHidden/>
    <w:rsid w:val="0038198C"/>
    <w:pPr>
      <w:keepNext/>
      <w:keepLines/>
      <w:numPr>
        <w:numId w:val="16"/>
      </w:numPr>
      <w:jc w:val="center"/>
    </w:pPr>
    <w:rPr>
      <w:b/>
      <w:sz w:val="22"/>
    </w:rPr>
  </w:style>
  <w:style w:type="character" w:customStyle="1" w:styleId="SCH-MAINHEADChar">
    <w:name w:val="SCH - MAIN HEAD Char"/>
    <w:basedOn w:val="BodyTextChar"/>
    <w:link w:val="SCH-MAINHEAD"/>
    <w:uiPriority w:val="99"/>
    <w:semiHidden/>
    <w:rsid w:val="009C2C9B"/>
    <w:rPr>
      <w:b/>
      <w:sz w:val="22"/>
      <w:lang w:val="en-GB"/>
    </w:rPr>
  </w:style>
  <w:style w:type="paragraph" w:customStyle="1" w:styleId="SCH1-SUBHEAD">
    <w:name w:val="SCH 1 - SUB HEAD"/>
    <w:basedOn w:val="BodyText"/>
    <w:next w:val="BodyText"/>
    <w:link w:val="SCH1-SUBHEADChar"/>
    <w:uiPriority w:val="99"/>
    <w:semiHidden/>
    <w:unhideWhenUsed/>
    <w:rsid w:val="009636AC"/>
    <w:pPr>
      <w:keepNext/>
      <w:keepLines/>
      <w:numPr>
        <w:ilvl w:val="1"/>
        <w:numId w:val="17"/>
      </w:numPr>
      <w:jc w:val="center"/>
    </w:pPr>
    <w:rPr>
      <w:b/>
    </w:rPr>
  </w:style>
  <w:style w:type="character" w:customStyle="1" w:styleId="SCH1-SUBHEADChar">
    <w:name w:val="SCH 1 - SUB HEAD Char"/>
    <w:basedOn w:val="BodyTextChar"/>
    <w:link w:val="SCH1-SUBHEAD"/>
    <w:uiPriority w:val="99"/>
    <w:semiHidden/>
    <w:rsid w:val="00F32436"/>
    <w:rPr>
      <w:b/>
      <w:lang w:val="en-GB"/>
    </w:rPr>
  </w:style>
  <w:style w:type="paragraph" w:customStyle="1" w:styleId="SCH1-MAINHEAD">
    <w:name w:val="SCH 1 - MAIN HEAD"/>
    <w:basedOn w:val="BodyText"/>
    <w:next w:val="SCH1-SUBHEAD"/>
    <w:link w:val="SCH1-MAINHEADChar"/>
    <w:uiPriority w:val="99"/>
    <w:semiHidden/>
    <w:unhideWhenUsed/>
    <w:rsid w:val="0021779B"/>
    <w:pPr>
      <w:keepNext/>
      <w:keepLines/>
      <w:numPr>
        <w:numId w:val="17"/>
      </w:numPr>
      <w:jc w:val="center"/>
    </w:pPr>
    <w:rPr>
      <w:b/>
      <w:sz w:val="22"/>
    </w:rPr>
  </w:style>
  <w:style w:type="character" w:customStyle="1" w:styleId="SCH1-MAINHEADChar">
    <w:name w:val="SCH 1 - MAIN HEAD Char"/>
    <w:basedOn w:val="BodyTextChar"/>
    <w:link w:val="SCH1-MAINHEAD"/>
    <w:uiPriority w:val="99"/>
    <w:semiHidden/>
    <w:rsid w:val="00F32436"/>
    <w:rPr>
      <w:b/>
      <w:sz w:val="22"/>
      <w:lang w:val="en-GB"/>
    </w:rPr>
  </w:style>
  <w:style w:type="paragraph" w:customStyle="1" w:styleId="SCH2-SUBHEAD">
    <w:name w:val="SCH 2 - SUB HEAD"/>
    <w:basedOn w:val="BodyText"/>
    <w:next w:val="BodyText"/>
    <w:link w:val="SCH2-SUBHEADChar"/>
    <w:uiPriority w:val="99"/>
    <w:semiHidden/>
    <w:unhideWhenUsed/>
    <w:rsid w:val="009636AC"/>
    <w:pPr>
      <w:keepNext/>
      <w:keepLines/>
      <w:numPr>
        <w:ilvl w:val="1"/>
        <w:numId w:val="18"/>
      </w:numPr>
      <w:jc w:val="center"/>
    </w:pPr>
    <w:rPr>
      <w:b/>
    </w:rPr>
  </w:style>
  <w:style w:type="character" w:customStyle="1" w:styleId="SCH2-SUBHEADChar">
    <w:name w:val="SCH 2 - SUB HEAD Char"/>
    <w:basedOn w:val="BodyTextChar"/>
    <w:link w:val="SCH2-SUBHEAD"/>
    <w:uiPriority w:val="99"/>
    <w:semiHidden/>
    <w:rsid w:val="00F32436"/>
    <w:rPr>
      <w:b/>
      <w:lang w:val="en-GB"/>
    </w:rPr>
  </w:style>
  <w:style w:type="paragraph" w:customStyle="1" w:styleId="SCH2-MAINHEAD">
    <w:name w:val="SCH 2 - MAIN HEAD"/>
    <w:basedOn w:val="BodyText"/>
    <w:next w:val="SCH2-SUBHEAD"/>
    <w:link w:val="SCH2-MAINHEADChar"/>
    <w:uiPriority w:val="99"/>
    <w:semiHidden/>
    <w:unhideWhenUsed/>
    <w:rsid w:val="0021779B"/>
    <w:pPr>
      <w:keepNext/>
      <w:keepLines/>
      <w:numPr>
        <w:numId w:val="18"/>
      </w:numPr>
      <w:jc w:val="center"/>
    </w:pPr>
    <w:rPr>
      <w:b/>
      <w:sz w:val="22"/>
    </w:rPr>
  </w:style>
  <w:style w:type="character" w:customStyle="1" w:styleId="SCH2-MAINHEADChar">
    <w:name w:val="SCH 2 - MAIN HEAD Char"/>
    <w:basedOn w:val="BodyTextChar"/>
    <w:link w:val="SCH2-MAINHEAD"/>
    <w:uiPriority w:val="99"/>
    <w:semiHidden/>
    <w:rsid w:val="00F32436"/>
    <w:rPr>
      <w:b/>
      <w:sz w:val="22"/>
      <w:lang w:val="en-GB"/>
    </w:rPr>
  </w:style>
  <w:style w:type="paragraph" w:customStyle="1" w:styleId="SCH3-SUBHEAD">
    <w:name w:val="SCH 3 - SUB HEAD"/>
    <w:basedOn w:val="BodyText"/>
    <w:next w:val="BodyText"/>
    <w:link w:val="SCH3-SUBHEADChar"/>
    <w:uiPriority w:val="99"/>
    <w:semiHidden/>
    <w:unhideWhenUsed/>
    <w:rsid w:val="009636AC"/>
    <w:pPr>
      <w:keepNext/>
      <w:keepLines/>
      <w:numPr>
        <w:ilvl w:val="1"/>
        <w:numId w:val="19"/>
      </w:numPr>
      <w:jc w:val="center"/>
    </w:pPr>
    <w:rPr>
      <w:b/>
    </w:rPr>
  </w:style>
  <w:style w:type="character" w:customStyle="1" w:styleId="SCH3-SUBHEADChar">
    <w:name w:val="SCH 3 - SUB HEAD Char"/>
    <w:basedOn w:val="BodyTextChar"/>
    <w:link w:val="SCH3-SUBHEAD"/>
    <w:uiPriority w:val="99"/>
    <w:semiHidden/>
    <w:rsid w:val="00F32436"/>
    <w:rPr>
      <w:b/>
      <w:lang w:val="en-GB"/>
    </w:rPr>
  </w:style>
  <w:style w:type="paragraph" w:customStyle="1" w:styleId="SCH3-MAINHEAD">
    <w:name w:val="SCH 3 - MAIN HEAD"/>
    <w:basedOn w:val="BodyText"/>
    <w:next w:val="SCH3-SUBHEAD"/>
    <w:link w:val="SCH3-MAINHEADChar"/>
    <w:uiPriority w:val="99"/>
    <w:semiHidden/>
    <w:unhideWhenUsed/>
    <w:rsid w:val="00FF6C52"/>
    <w:pPr>
      <w:keepNext/>
      <w:keepLines/>
      <w:numPr>
        <w:numId w:val="19"/>
      </w:numPr>
      <w:jc w:val="center"/>
    </w:pPr>
    <w:rPr>
      <w:b/>
      <w:sz w:val="22"/>
    </w:rPr>
  </w:style>
  <w:style w:type="character" w:customStyle="1" w:styleId="SCH3-MAINHEADChar">
    <w:name w:val="SCH 3 - MAIN HEAD Char"/>
    <w:basedOn w:val="BodyTextChar"/>
    <w:link w:val="SCH3-MAINHEAD"/>
    <w:uiPriority w:val="99"/>
    <w:semiHidden/>
    <w:rsid w:val="00F32436"/>
    <w:rPr>
      <w:b/>
      <w:sz w:val="22"/>
      <w:lang w:val="en-GB"/>
    </w:rPr>
  </w:style>
  <w:style w:type="paragraph" w:customStyle="1" w:styleId="SCH4-SUBHEAD">
    <w:name w:val="SCH 4 - SUB HEAD"/>
    <w:basedOn w:val="BodyText"/>
    <w:next w:val="BodyText"/>
    <w:link w:val="SCH4-SUBHEADChar"/>
    <w:uiPriority w:val="99"/>
    <w:semiHidden/>
    <w:unhideWhenUsed/>
    <w:rsid w:val="009636AC"/>
    <w:pPr>
      <w:keepNext/>
      <w:keepLines/>
      <w:numPr>
        <w:ilvl w:val="1"/>
        <w:numId w:val="20"/>
      </w:numPr>
      <w:jc w:val="center"/>
    </w:pPr>
    <w:rPr>
      <w:b/>
    </w:rPr>
  </w:style>
  <w:style w:type="character" w:customStyle="1" w:styleId="SCH4-SUBHEADChar">
    <w:name w:val="SCH 4 - SUB HEAD Char"/>
    <w:basedOn w:val="BodyTextChar"/>
    <w:link w:val="SCH4-SUBHEAD"/>
    <w:uiPriority w:val="99"/>
    <w:semiHidden/>
    <w:rsid w:val="00F32436"/>
    <w:rPr>
      <w:b/>
      <w:lang w:val="en-GB"/>
    </w:rPr>
  </w:style>
  <w:style w:type="paragraph" w:customStyle="1" w:styleId="SCH4-MAINHEAD">
    <w:name w:val="SCH 4 - MAIN HEAD"/>
    <w:basedOn w:val="BodyText"/>
    <w:next w:val="SCH4-SUBHEAD"/>
    <w:link w:val="SCH4-MAINHEADChar"/>
    <w:uiPriority w:val="99"/>
    <w:semiHidden/>
    <w:unhideWhenUsed/>
    <w:rsid w:val="009636AC"/>
    <w:pPr>
      <w:keepNext/>
      <w:keepLines/>
      <w:numPr>
        <w:numId w:val="20"/>
      </w:numPr>
      <w:jc w:val="center"/>
    </w:pPr>
    <w:rPr>
      <w:b/>
      <w:sz w:val="22"/>
    </w:rPr>
  </w:style>
  <w:style w:type="character" w:customStyle="1" w:styleId="SCH4-MAINHEADChar">
    <w:name w:val="SCH 4 - MAIN HEAD Char"/>
    <w:basedOn w:val="BodyTextChar"/>
    <w:link w:val="SCH4-MAINHEAD"/>
    <w:uiPriority w:val="99"/>
    <w:semiHidden/>
    <w:rsid w:val="00F32436"/>
    <w:rPr>
      <w:b/>
      <w:sz w:val="22"/>
      <w:lang w:val="en-GB"/>
    </w:rPr>
  </w:style>
  <w:style w:type="paragraph" w:customStyle="1" w:styleId="SCH5-SUBHEAD">
    <w:name w:val="SCH 5 - SUB HEAD"/>
    <w:basedOn w:val="BodyText"/>
    <w:next w:val="BodyText"/>
    <w:link w:val="SCH5-SUBHEADChar"/>
    <w:uiPriority w:val="99"/>
    <w:semiHidden/>
    <w:unhideWhenUsed/>
    <w:rsid w:val="009636AC"/>
    <w:pPr>
      <w:keepNext/>
      <w:keepLines/>
      <w:numPr>
        <w:ilvl w:val="1"/>
        <w:numId w:val="21"/>
      </w:numPr>
      <w:jc w:val="center"/>
    </w:pPr>
    <w:rPr>
      <w:b/>
    </w:rPr>
  </w:style>
  <w:style w:type="character" w:customStyle="1" w:styleId="SCH5-SUBHEADChar">
    <w:name w:val="SCH 5 - SUB HEAD Char"/>
    <w:basedOn w:val="BodyTextChar"/>
    <w:link w:val="SCH5-SUBHEAD"/>
    <w:uiPriority w:val="99"/>
    <w:semiHidden/>
    <w:rsid w:val="00F32436"/>
    <w:rPr>
      <w:b/>
      <w:lang w:val="en-GB"/>
    </w:rPr>
  </w:style>
  <w:style w:type="paragraph" w:customStyle="1" w:styleId="SCH5-MAINHEAD">
    <w:name w:val="SCH 5 - MAIN HEAD"/>
    <w:basedOn w:val="BodyText"/>
    <w:next w:val="SCH5-SUBHEAD"/>
    <w:link w:val="SCH5-MAINHEADChar"/>
    <w:uiPriority w:val="99"/>
    <w:semiHidden/>
    <w:unhideWhenUsed/>
    <w:rsid w:val="009636AC"/>
    <w:pPr>
      <w:keepNext/>
      <w:keepLines/>
      <w:numPr>
        <w:numId w:val="21"/>
      </w:numPr>
      <w:jc w:val="center"/>
    </w:pPr>
    <w:rPr>
      <w:b/>
      <w:sz w:val="22"/>
    </w:rPr>
  </w:style>
  <w:style w:type="character" w:customStyle="1" w:styleId="SCH5-MAINHEADChar">
    <w:name w:val="SCH 5 - MAIN HEAD Char"/>
    <w:basedOn w:val="BodyTextChar"/>
    <w:link w:val="SCH5-MAINHEAD"/>
    <w:uiPriority w:val="99"/>
    <w:semiHidden/>
    <w:rsid w:val="00F32436"/>
    <w:rPr>
      <w:b/>
      <w:sz w:val="22"/>
      <w:lang w:val="en-GB"/>
    </w:rPr>
  </w:style>
  <w:style w:type="paragraph" w:customStyle="1" w:styleId="SCH6-SUBHEAD">
    <w:name w:val="SCH 6 - SUB HEAD"/>
    <w:basedOn w:val="BodyText"/>
    <w:next w:val="BodyText"/>
    <w:link w:val="SCH6-SUBHEADChar"/>
    <w:uiPriority w:val="99"/>
    <w:semiHidden/>
    <w:unhideWhenUsed/>
    <w:rsid w:val="009636AC"/>
    <w:pPr>
      <w:keepNext/>
      <w:keepLines/>
      <w:numPr>
        <w:ilvl w:val="1"/>
        <w:numId w:val="22"/>
      </w:numPr>
      <w:jc w:val="center"/>
    </w:pPr>
    <w:rPr>
      <w:b/>
    </w:rPr>
  </w:style>
  <w:style w:type="character" w:customStyle="1" w:styleId="SCH6-SUBHEADChar">
    <w:name w:val="SCH 6 - SUB HEAD Char"/>
    <w:basedOn w:val="BodyTextChar"/>
    <w:link w:val="SCH6-SUBHEAD"/>
    <w:uiPriority w:val="99"/>
    <w:semiHidden/>
    <w:rsid w:val="00F32436"/>
    <w:rPr>
      <w:b/>
      <w:lang w:val="en-GB"/>
    </w:rPr>
  </w:style>
  <w:style w:type="paragraph" w:customStyle="1" w:styleId="SCH6-MAINHEAD">
    <w:name w:val="SCH 6 - MAIN HEAD"/>
    <w:basedOn w:val="BodyText"/>
    <w:next w:val="SCH6-SUBHEAD"/>
    <w:link w:val="SCH6-MAINHEADChar"/>
    <w:uiPriority w:val="99"/>
    <w:semiHidden/>
    <w:unhideWhenUsed/>
    <w:rsid w:val="00E671E7"/>
    <w:pPr>
      <w:keepNext/>
      <w:keepLines/>
      <w:numPr>
        <w:numId w:val="22"/>
      </w:numPr>
      <w:jc w:val="center"/>
    </w:pPr>
    <w:rPr>
      <w:b/>
      <w:sz w:val="22"/>
    </w:rPr>
  </w:style>
  <w:style w:type="character" w:customStyle="1" w:styleId="SCH6-MAINHEADChar">
    <w:name w:val="SCH 6 - MAIN HEAD Char"/>
    <w:basedOn w:val="BodyTextChar"/>
    <w:link w:val="SCH6-MAINHEAD"/>
    <w:uiPriority w:val="99"/>
    <w:semiHidden/>
    <w:rsid w:val="00F32436"/>
    <w:rPr>
      <w:b/>
      <w:sz w:val="22"/>
      <w:lang w:val="en-GB"/>
    </w:rPr>
  </w:style>
  <w:style w:type="paragraph" w:customStyle="1" w:styleId="SCH7-SUBHEAD">
    <w:name w:val="SCH 7 - SUB HEAD"/>
    <w:basedOn w:val="BodyText"/>
    <w:next w:val="BodyText"/>
    <w:link w:val="SCH7-SUBHEADChar"/>
    <w:uiPriority w:val="99"/>
    <w:semiHidden/>
    <w:unhideWhenUsed/>
    <w:rsid w:val="009636AC"/>
    <w:pPr>
      <w:keepNext/>
      <w:keepLines/>
      <w:numPr>
        <w:ilvl w:val="1"/>
        <w:numId w:val="23"/>
      </w:numPr>
      <w:jc w:val="center"/>
    </w:pPr>
    <w:rPr>
      <w:b/>
    </w:rPr>
  </w:style>
  <w:style w:type="character" w:customStyle="1" w:styleId="SCH7-SUBHEADChar">
    <w:name w:val="SCH 7 - SUB HEAD Char"/>
    <w:basedOn w:val="BodyTextChar"/>
    <w:link w:val="SCH7-SUBHEAD"/>
    <w:uiPriority w:val="99"/>
    <w:semiHidden/>
    <w:rsid w:val="00F32436"/>
    <w:rPr>
      <w:b/>
      <w:lang w:val="en-GB"/>
    </w:rPr>
  </w:style>
  <w:style w:type="paragraph" w:customStyle="1" w:styleId="SCH7-MAINHEAD">
    <w:name w:val="SCH 7 - MAIN HEAD"/>
    <w:basedOn w:val="BodyText"/>
    <w:next w:val="SCH7-SUBHEAD"/>
    <w:link w:val="SCH7-MAINHEADChar"/>
    <w:uiPriority w:val="99"/>
    <w:semiHidden/>
    <w:unhideWhenUsed/>
    <w:rsid w:val="009636AC"/>
    <w:pPr>
      <w:keepNext/>
      <w:keepLines/>
      <w:numPr>
        <w:numId w:val="23"/>
      </w:numPr>
      <w:jc w:val="center"/>
    </w:pPr>
    <w:rPr>
      <w:b/>
      <w:sz w:val="22"/>
    </w:rPr>
  </w:style>
  <w:style w:type="character" w:customStyle="1" w:styleId="SCH7-MAINHEADChar">
    <w:name w:val="SCH 7 - MAIN HEAD Char"/>
    <w:basedOn w:val="BodyTextChar"/>
    <w:link w:val="SCH7-MAINHEAD"/>
    <w:uiPriority w:val="99"/>
    <w:semiHidden/>
    <w:rsid w:val="00F32436"/>
    <w:rPr>
      <w:b/>
      <w:sz w:val="22"/>
      <w:lang w:val="en-GB"/>
    </w:rPr>
  </w:style>
  <w:style w:type="paragraph" w:customStyle="1" w:styleId="SCH8-SUBHEAD">
    <w:name w:val="SCH 8 - SUB HEAD"/>
    <w:basedOn w:val="BodyText"/>
    <w:next w:val="BodyText"/>
    <w:link w:val="SCH8-SUBHEADChar"/>
    <w:uiPriority w:val="99"/>
    <w:semiHidden/>
    <w:unhideWhenUsed/>
    <w:rsid w:val="009636AC"/>
    <w:pPr>
      <w:keepNext/>
      <w:keepLines/>
      <w:numPr>
        <w:ilvl w:val="1"/>
        <w:numId w:val="24"/>
      </w:numPr>
      <w:jc w:val="center"/>
    </w:pPr>
    <w:rPr>
      <w:b/>
    </w:rPr>
  </w:style>
  <w:style w:type="character" w:customStyle="1" w:styleId="SCH8-SUBHEADChar">
    <w:name w:val="SCH 8 - SUB HEAD Char"/>
    <w:basedOn w:val="BodyTextChar"/>
    <w:link w:val="SCH8-SUBHEAD"/>
    <w:uiPriority w:val="99"/>
    <w:semiHidden/>
    <w:rsid w:val="00F32436"/>
    <w:rPr>
      <w:b/>
      <w:lang w:val="en-GB"/>
    </w:rPr>
  </w:style>
  <w:style w:type="paragraph" w:customStyle="1" w:styleId="SCH8-MAINHEAD">
    <w:name w:val="SCH 8 - MAIN HEAD"/>
    <w:basedOn w:val="BodyText"/>
    <w:next w:val="SCH8-SUBHEAD"/>
    <w:link w:val="SCH8-MAINHEADChar"/>
    <w:uiPriority w:val="99"/>
    <w:semiHidden/>
    <w:unhideWhenUsed/>
    <w:rsid w:val="009636AC"/>
    <w:pPr>
      <w:keepNext/>
      <w:keepLines/>
      <w:numPr>
        <w:numId w:val="24"/>
      </w:numPr>
      <w:jc w:val="center"/>
    </w:pPr>
    <w:rPr>
      <w:b/>
      <w:sz w:val="22"/>
    </w:rPr>
  </w:style>
  <w:style w:type="character" w:customStyle="1" w:styleId="SCH8-MAINHEADChar">
    <w:name w:val="SCH 8 - MAIN HEAD Char"/>
    <w:basedOn w:val="BodyTextChar"/>
    <w:link w:val="SCH8-MAINHEAD"/>
    <w:uiPriority w:val="99"/>
    <w:semiHidden/>
    <w:rsid w:val="00F32436"/>
    <w:rPr>
      <w:b/>
      <w:sz w:val="22"/>
      <w:lang w:val="en-GB"/>
    </w:rPr>
  </w:style>
  <w:style w:type="paragraph" w:customStyle="1" w:styleId="SCH9-SUBHEAD">
    <w:name w:val="SCH 9 - SUB HEAD"/>
    <w:basedOn w:val="BodyText"/>
    <w:next w:val="BodyText"/>
    <w:link w:val="SCH9-SUBHEADChar"/>
    <w:uiPriority w:val="99"/>
    <w:semiHidden/>
    <w:unhideWhenUsed/>
    <w:rsid w:val="00475666"/>
    <w:pPr>
      <w:keepNext/>
      <w:keepLines/>
      <w:numPr>
        <w:ilvl w:val="1"/>
        <w:numId w:val="25"/>
      </w:numPr>
      <w:jc w:val="center"/>
    </w:pPr>
    <w:rPr>
      <w:b/>
    </w:rPr>
  </w:style>
  <w:style w:type="character" w:customStyle="1" w:styleId="SCH9-SUBHEADChar">
    <w:name w:val="SCH 9 - SUB HEAD Char"/>
    <w:basedOn w:val="BodyTextChar"/>
    <w:link w:val="SCH9-SUBHEAD"/>
    <w:uiPriority w:val="99"/>
    <w:semiHidden/>
    <w:rsid w:val="00F32436"/>
    <w:rPr>
      <w:b/>
      <w:lang w:val="en-GB"/>
    </w:rPr>
  </w:style>
  <w:style w:type="paragraph" w:customStyle="1" w:styleId="SCH9-MAINHEAD">
    <w:name w:val="SCH 9 - MAIN HEAD"/>
    <w:basedOn w:val="BodyText"/>
    <w:next w:val="SCH9-SUBHEAD"/>
    <w:link w:val="SCH9-MAINHEADChar"/>
    <w:uiPriority w:val="99"/>
    <w:semiHidden/>
    <w:unhideWhenUsed/>
    <w:rsid w:val="00475666"/>
    <w:pPr>
      <w:keepNext/>
      <w:keepLines/>
      <w:numPr>
        <w:numId w:val="25"/>
      </w:numPr>
      <w:jc w:val="center"/>
    </w:pPr>
    <w:rPr>
      <w:b/>
      <w:sz w:val="22"/>
    </w:rPr>
  </w:style>
  <w:style w:type="character" w:customStyle="1" w:styleId="SCH9-MAINHEADChar">
    <w:name w:val="SCH 9 - MAIN HEAD Char"/>
    <w:basedOn w:val="BodyTextChar"/>
    <w:link w:val="SCH9-MAINHEAD"/>
    <w:uiPriority w:val="99"/>
    <w:semiHidden/>
    <w:rsid w:val="00F32436"/>
    <w:rPr>
      <w:b/>
      <w:sz w:val="22"/>
      <w:lang w:val="en-GB"/>
    </w:rPr>
  </w:style>
  <w:style w:type="paragraph" w:customStyle="1" w:styleId="1-NUMBERING">
    <w:name w:val="(1) - NUMBERING"/>
    <w:basedOn w:val="BodyText"/>
    <w:link w:val="1-NUMBERINGChar"/>
    <w:uiPriority w:val="99"/>
    <w:semiHidden/>
    <w:unhideWhenUsed/>
    <w:rsid w:val="003E0D28"/>
    <w:pPr>
      <w:numPr>
        <w:numId w:val="11"/>
      </w:numPr>
      <w:tabs>
        <w:tab w:val="left" w:pos="709"/>
      </w:tabs>
    </w:pPr>
  </w:style>
  <w:style w:type="character" w:customStyle="1" w:styleId="1-NUMBERINGChar">
    <w:name w:val="(1) - NUMBERING Char"/>
    <w:basedOn w:val="BodyTextChar"/>
    <w:link w:val="1-NUMBERING"/>
    <w:uiPriority w:val="99"/>
    <w:semiHidden/>
    <w:rsid w:val="003E0D28"/>
    <w:rPr>
      <w:lang w:val="en-GB"/>
    </w:rPr>
  </w:style>
  <w:style w:type="paragraph" w:customStyle="1" w:styleId="A-NUMBERING">
    <w:name w:val="A. - NUMBERING"/>
    <w:basedOn w:val="BodyText"/>
    <w:link w:val="A-NUMBERINGChar"/>
    <w:uiPriority w:val="99"/>
    <w:semiHidden/>
    <w:unhideWhenUsed/>
    <w:rsid w:val="003E0D28"/>
    <w:pPr>
      <w:numPr>
        <w:numId w:val="12"/>
      </w:numPr>
      <w:tabs>
        <w:tab w:val="left" w:pos="709"/>
      </w:tabs>
    </w:pPr>
  </w:style>
  <w:style w:type="character" w:customStyle="1" w:styleId="A-NUMBERINGChar">
    <w:name w:val="A. - NUMBERING Char"/>
    <w:basedOn w:val="BodyTextChar"/>
    <w:link w:val="A-NUMBERING"/>
    <w:uiPriority w:val="99"/>
    <w:semiHidden/>
    <w:rsid w:val="003E0D28"/>
    <w:rPr>
      <w:lang w:val="en-GB"/>
    </w:rPr>
  </w:style>
  <w:style w:type="paragraph" w:customStyle="1" w:styleId="SCH7-LEVEL5">
    <w:name w:val="SCH 7 - LEVEL 5"/>
    <w:basedOn w:val="BodyText"/>
    <w:next w:val="Body5"/>
    <w:link w:val="SCH7-LEVEL5Char"/>
    <w:uiPriority w:val="99"/>
    <w:semiHidden/>
    <w:unhideWhenUsed/>
    <w:rsid w:val="00F85F9B"/>
    <w:pPr>
      <w:numPr>
        <w:ilvl w:val="4"/>
        <w:numId w:val="42"/>
      </w:numPr>
    </w:pPr>
  </w:style>
  <w:style w:type="character" w:customStyle="1" w:styleId="SCH7-LEVEL5Char">
    <w:name w:val="SCH 7 - LEVEL 5 Char"/>
    <w:basedOn w:val="BodyTextChar"/>
    <w:link w:val="SCH7-LEVEL5"/>
    <w:uiPriority w:val="99"/>
    <w:semiHidden/>
    <w:rsid w:val="00F85F9B"/>
    <w:rPr>
      <w:lang w:val="en-GB"/>
    </w:rPr>
  </w:style>
  <w:style w:type="paragraph" w:customStyle="1" w:styleId="SCH7-LEVEL6">
    <w:name w:val="SCH 7 - LEVEL 6"/>
    <w:basedOn w:val="BodyText"/>
    <w:next w:val="Body6"/>
    <w:link w:val="SCH7-LEVEL6Char"/>
    <w:uiPriority w:val="99"/>
    <w:semiHidden/>
    <w:unhideWhenUsed/>
    <w:qFormat/>
    <w:rsid w:val="00F85F9B"/>
    <w:pPr>
      <w:numPr>
        <w:ilvl w:val="5"/>
        <w:numId w:val="42"/>
      </w:numPr>
    </w:pPr>
  </w:style>
  <w:style w:type="character" w:customStyle="1" w:styleId="SCH7-LEVEL6Char">
    <w:name w:val="SCH 7 - LEVEL 6 Char"/>
    <w:basedOn w:val="BodyTextChar"/>
    <w:link w:val="SCH7-LEVEL6"/>
    <w:uiPriority w:val="99"/>
    <w:semiHidden/>
    <w:rsid w:val="00F85F9B"/>
    <w:rPr>
      <w:lang w:val="en-GB"/>
    </w:rPr>
  </w:style>
  <w:style w:type="table" w:customStyle="1" w:styleId="ColorfulGrid1">
    <w:name w:val="Colorful Grid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2F2F2" w:themeFill="text1" w:themeFillTint="33"/>
    </w:tcPr>
    <w:tblStylePr w:type="firstRow">
      <w:rPr>
        <w:b/>
        <w:bCs/>
      </w:rPr>
      <w:tblPr/>
      <w:tcPr>
        <w:shd w:val="clear" w:color="auto" w:fill="E5E5E5" w:themeFill="text1" w:themeFillTint="66"/>
      </w:tcPr>
    </w:tblStylePr>
    <w:tblStylePr w:type="lastRow">
      <w:rPr>
        <w:b/>
        <w:bCs/>
        <w:color w:val="C0C0C0" w:themeColor="text1"/>
      </w:rPr>
      <w:tblPr/>
      <w:tcPr>
        <w:shd w:val="clear" w:color="auto" w:fill="E5E5E5" w:themeFill="text1" w:themeFillTint="66"/>
      </w:tcPr>
    </w:tblStylePr>
    <w:tblStylePr w:type="firstCol">
      <w:rPr>
        <w:color w:val="FFFFFF" w:themeColor="background1"/>
      </w:rPr>
      <w:tblPr/>
      <w:tcPr>
        <w:shd w:val="clear" w:color="auto" w:fill="8F8F8F" w:themeFill="text1" w:themeFillShade="BF"/>
      </w:tcPr>
    </w:tblStylePr>
    <w:tblStylePr w:type="lastCol">
      <w:rPr>
        <w:color w:val="FFFFFF" w:themeColor="background1"/>
      </w:rPr>
      <w:tblPr/>
      <w:tcPr>
        <w:shd w:val="clear" w:color="auto" w:fill="8F8F8F" w:themeFill="text1" w:themeFillShade="BF"/>
      </w:tc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ColorfulGrid-Accent1">
    <w:name w:val="Colorful Grid Accent 1"/>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7CFD3" w:themeFill="accent1" w:themeFillTint="33"/>
    </w:tcPr>
    <w:tblStylePr w:type="firstRow">
      <w:rPr>
        <w:b/>
        <w:bCs/>
      </w:rPr>
      <w:tblPr/>
      <w:tcPr>
        <w:shd w:val="clear" w:color="auto" w:fill="EFA0A7" w:themeFill="accent1" w:themeFillTint="66"/>
      </w:tcPr>
    </w:tblStylePr>
    <w:tblStylePr w:type="lastRow">
      <w:rPr>
        <w:b/>
        <w:bCs/>
        <w:color w:val="C0C0C0" w:themeColor="text1"/>
      </w:rPr>
      <w:tblPr/>
      <w:tcPr>
        <w:shd w:val="clear" w:color="auto" w:fill="EFA0A7" w:themeFill="accent1" w:themeFillTint="66"/>
      </w:tcPr>
    </w:tblStylePr>
    <w:tblStylePr w:type="firstCol">
      <w:rPr>
        <w:color w:val="FFFFFF" w:themeColor="background1"/>
      </w:rPr>
      <w:tblPr/>
      <w:tcPr>
        <w:shd w:val="clear" w:color="auto" w:fill="981824" w:themeFill="accent1" w:themeFillShade="BF"/>
      </w:tcPr>
    </w:tblStylePr>
    <w:tblStylePr w:type="lastCol">
      <w:rPr>
        <w:color w:val="FFFFFF" w:themeColor="background1"/>
      </w:rPr>
      <w:tblPr/>
      <w:tcPr>
        <w:shd w:val="clear" w:color="auto" w:fill="981824" w:themeFill="accent1" w:themeFillShade="BF"/>
      </w:tc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ColorfulGrid-Accent2">
    <w:name w:val="Colorful Grid Accent 2"/>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D5EBF8" w:themeFill="accent2" w:themeFillTint="33"/>
    </w:tcPr>
    <w:tblStylePr w:type="firstRow">
      <w:rPr>
        <w:b/>
        <w:bCs/>
      </w:rPr>
      <w:tblPr/>
      <w:tcPr>
        <w:shd w:val="clear" w:color="auto" w:fill="ACD7F2" w:themeFill="accent2" w:themeFillTint="66"/>
      </w:tcPr>
    </w:tblStylePr>
    <w:tblStylePr w:type="lastRow">
      <w:rPr>
        <w:b/>
        <w:bCs/>
        <w:color w:val="C0C0C0" w:themeColor="text1"/>
      </w:rPr>
      <w:tblPr/>
      <w:tcPr>
        <w:shd w:val="clear" w:color="auto" w:fill="ACD7F2" w:themeFill="accent2" w:themeFillTint="66"/>
      </w:tcPr>
    </w:tblStylePr>
    <w:tblStylePr w:type="firstCol">
      <w:rPr>
        <w:color w:val="FFFFFF" w:themeColor="background1"/>
      </w:rPr>
      <w:tblPr/>
      <w:tcPr>
        <w:shd w:val="clear" w:color="auto" w:fill="1A78B1" w:themeFill="accent2" w:themeFillShade="BF"/>
      </w:tcPr>
    </w:tblStylePr>
    <w:tblStylePr w:type="lastCol">
      <w:rPr>
        <w:color w:val="FFFFFF" w:themeColor="background1"/>
      </w:rPr>
      <w:tblPr/>
      <w:tcPr>
        <w:shd w:val="clear" w:color="auto" w:fill="1A78B1" w:themeFill="accent2" w:themeFillShade="BF"/>
      </w:tc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ColorfulGrid-Accent3">
    <w:name w:val="Colorful Grid Accent 3"/>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FFAB9" w:themeFill="accent3" w:themeFillTint="33"/>
    </w:tcPr>
    <w:tblStylePr w:type="firstRow">
      <w:rPr>
        <w:b/>
        <w:bCs/>
      </w:rPr>
      <w:tblPr/>
      <w:tcPr>
        <w:shd w:val="clear" w:color="auto" w:fill="FFF674" w:themeFill="accent3" w:themeFillTint="66"/>
      </w:tcPr>
    </w:tblStylePr>
    <w:tblStylePr w:type="lastRow">
      <w:rPr>
        <w:b/>
        <w:bCs/>
        <w:color w:val="C0C0C0" w:themeColor="text1"/>
      </w:rPr>
      <w:tblPr/>
      <w:tcPr>
        <w:shd w:val="clear" w:color="auto" w:fill="FFF674" w:themeFill="accent3" w:themeFillTint="66"/>
      </w:tcPr>
    </w:tblStylePr>
    <w:tblStylePr w:type="firstCol">
      <w:rPr>
        <w:color w:val="FFFFFF" w:themeColor="background1"/>
      </w:rPr>
      <w:tblPr/>
      <w:tcPr>
        <w:shd w:val="clear" w:color="auto" w:fill="7A7200" w:themeFill="accent3" w:themeFillShade="BF"/>
      </w:tcPr>
    </w:tblStylePr>
    <w:tblStylePr w:type="lastCol">
      <w:rPr>
        <w:color w:val="FFFFFF" w:themeColor="background1"/>
      </w:rPr>
      <w:tblPr/>
      <w:tcPr>
        <w:shd w:val="clear" w:color="auto" w:fill="7A7200" w:themeFill="accent3" w:themeFillShade="BF"/>
      </w:tc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ColorfulGrid-Accent4">
    <w:name w:val="Colorful Grid Accent 4"/>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FEE2C5" w:themeFill="accent4" w:themeFillTint="33"/>
    </w:tcPr>
    <w:tblStylePr w:type="firstRow">
      <w:rPr>
        <w:b/>
        <w:bCs/>
      </w:rPr>
      <w:tblPr/>
      <w:tcPr>
        <w:shd w:val="clear" w:color="auto" w:fill="FEC58C" w:themeFill="accent4" w:themeFillTint="66"/>
      </w:tcPr>
    </w:tblStylePr>
    <w:tblStylePr w:type="lastRow">
      <w:rPr>
        <w:b/>
        <w:bCs/>
        <w:color w:val="C0C0C0" w:themeColor="text1"/>
      </w:rPr>
      <w:tblPr/>
      <w:tcPr>
        <w:shd w:val="clear" w:color="auto" w:fill="FEC58C" w:themeFill="accent4" w:themeFillTint="66"/>
      </w:tcPr>
    </w:tblStylePr>
    <w:tblStylePr w:type="firstCol">
      <w:rPr>
        <w:color w:val="FFFFFF" w:themeColor="background1"/>
      </w:rPr>
      <w:tblPr/>
      <w:tcPr>
        <w:shd w:val="clear" w:color="auto" w:fill="A55200" w:themeFill="accent4" w:themeFillShade="BF"/>
      </w:tcPr>
    </w:tblStylePr>
    <w:tblStylePr w:type="lastCol">
      <w:rPr>
        <w:color w:val="FFFFFF" w:themeColor="background1"/>
      </w:rPr>
      <w:tblPr/>
      <w:tcPr>
        <w:shd w:val="clear" w:color="auto" w:fill="A55200" w:themeFill="accent4" w:themeFillShade="BF"/>
      </w:tc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ColorfulGrid-Accent5">
    <w:name w:val="Colorful Grid Accent 5"/>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8E9E4" w:themeFill="accent5" w:themeFillTint="33"/>
    </w:tcPr>
    <w:tblStylePr w:type="firstRow">
      <w:rPr>
        <w:b/>
        <w:bCs/>
      </w:rPr>
      <w:tblPr/>
      <w:tcPr>
        <w:shd w:val="clear" w:color="auto" w:fill="D2D4CA" w:themeFill="accent5" w:themeFillTint="66"/>
      </w:tcPr>
    </w:tblStylePr>
    <w:tblStylePr w:type="lastRow">
      <w:rPr>
        <w:b/>
        <w:bCs/>
        <w:color w:val="C0C0C0" w:themeColor="text1"/>
      </w:rPr>
      <w:tblPr/>
      <w:tcPr>
        <w:shd w:val="clear" w:color="auto" w:fill="D2D4CA" w:themeFill="accent5" w:themeFillTint="66"/>
      </w:tcPr>
    </w:tblStylePr>
    <w:tblStylePr w:type="firstCol">
      <w:rPr>
        <w:color w:val="FFFFFF" w:themeColor="background1"/>
      </w:rPr>
      <w:tblPr/>
      <w:tcPr>
        <w:shd w:val="clear" w:color="auto" w:fill="6B705B" w:themeFill="accent5" w:themeFillShade="BF"/>
      </w:tcPr>
    </w:tblStylePr>
    <w:tblStylePr w:type="lastCol">
      <w:rPr>
        <w:color w:val="FFFFFF" w:themeColor="background1"/>
      </w:rPr>
      <w:tblPr/>
      <w:tcPr>
        <w:shd w:val="clear" w:color="auto" w:fill="6B705B" w:themeFill="accent5" w:themeFillShade="BF"/>
      </w:tc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ColorfulGrid-Accent6">
    <w:name w:val="Colorful Grid Accent 6"/>
    <w:basedOn w:val="TableNormal"/>
    <w:uiPriority w:val="99"/>
    <w:semiHidden/>
    <w:rsid w:val="00C25C71"/>
    <w:pPr>
      <w:spacing w:after="0" w:line="240" w:lineRule="auto"/>
    </w:pPr>
    <w:rPr>
      <w:color w:val="C0C0C0" w:themeColor="text1"/>
    </w:rPr>
    <w:tblPr>
      <w:tblStyleRowBandSize w:val="1"/>
      <w:tblStyleColBandSize w:val="1"/>
      <w:tblBorders>
        <w:insideH w:val="single" w:sz="4" w:space="0" w:color="FFFFFF" w:themeColor="background1"/>
      </w:tblBorders>
    </w:tblPr>
    <w:tcPr>
      <w:shd w:val="clear" w:color="auto" w:fill="ECD4E6" w:themeFill="accent6" w:themeFillTint="33"/>
    </w:tcPr>
    <w:tblStylePr w:type="firstRow">
      <w:rPr>
        <w:b/>
        <w:bCs/>
      </w:rPr>
      <w:tblPr/>
      <w:tcPr>
        <w:shd w:val="clear" w:color="auto" w:fill="D9AACE" w:themeFill="accent6" w:themeFillTint="66"/>
      </w:tcPr>
    </w:tblStylePr>
    <w:tblStylePr w:type="lastRow">
      <w:rPr>
        <w:b/>
        <w:bCs/>
        <w:color w:val="C0C0C0" w:themeColor="text1"/>
      </w:rPr>
      <w:tblPr/>
      <w:tcPr>
        <w:shd w:val="clear" w:color="auto" w:fill="D9AACE" w:themeFill="accent6" w:themeFillTint="66"/>
      </w:tcPr>
    </w:tblStylePr>
    <w:tblStylePr w:type="firstCol">
      <w:rPr>
        <w:color w:val="FFFFFF" w:themeColor="background1"/>
      </w:rPr>
      <w:tblPr/>
      <w:tcPr>
        <w:shd w:val="clear" w:color="auto" w:fill="692F5C" w:themeFill="accent6" w:themeFillShade="BF"/>
      </w:tcPr>
    </w:tblStylePr>
    <w:tblStylePr w:type="lastCol">
      <w:rPr>
        <w:color w:val="FFFFFF" w:themeColor="background1"/>
      </w:rPr>
      <w:tblPr/>
      <w:tcPr>
        <w:shd w:val="clear" w:color="auto" w:fill="692F5C" w:themeFill="accent6" w:themeFillShade="BF"/>
      </w:tc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ColorfulList1">
    <w:name w:val="Colorful List1"/>
    <w:basedOn w:val="TableNormal"/>
    <w:uiPriority w:val="99"/>
    <w:semiHidden/>
    <w:rsid w:val="00C25C71"/>
    <w:pPr>
      <w:spacing w:after="0" w:line="240" w:lineRule="auto"/>
    </w:pPr>
    <w:rPr>
      <w:color w:val="C0C0C0" w:themeColor="text1"/>
    </w:rPr>
    <w:tblPr>
      <w:tblStyleRowBandSize w:val="1"/>
      <w:tblStyleColBandSize w:val="1"/>
    </w:tblPr>
    <w:tcPr>
      <w:shd w:val="clear" w:color="auto" w:fill="F8F8F8" w:themeFill="tex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text1" w:themeFillTint="3F"/>
      </w:tcPr>
    </w:tblStylePr>
    <w:tblStylePr w:type="band1Horz">
      <w:tblPr/>
      <w:tcPr>
        <w:shd w:val="clear" w:color="auto" w:fill="F2F2F2" w:themeFill="text1" w:themeFillTint="33"/>
      </w:tcPr>
    </w:tblStylePr>
  </w:style>
  <w:style w:type="table" w:styleId="ColorfulList-Accent1">
    <w:name w:val="Colorful List Accent 1"/>
    <w:basedOn w:val="TableNormal"/>
    <w:uiPriority w:val="99"/>
    <w:semiHidden/>
    <w:rsid w:val="00C25C71"/>
    <w:pPr>
      <w:spacing w:after="0" w:line="240" w:lineRule="auto"/>
    </w:pPr>
    <w:rPr>
      <w:color w:val="C0C0C0" w:themeColor="text1"/>
    </w:rPr>
    <w:tblPr>
      <w:tblStyleRowBandSize w:val="1"/>
      <w:tblStyleColBandSize w:val="1"/>
    </w:tblPr>
    <w:tcPr>
      <w:shd w:val="clear" w:color="auto" w:fill="FBE7E9" w:themeFill="accent1"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5C4C9" w:themeFill="accent1" w:themeFillTint="3F"/>
      </w:tcPr>
    </w:tblStylePr>
    <w:tblStylePr w:type="band1Horz">
      <w:tblPr/>
      <w:tcPr>
        <w:shd w:val="clear" w:color="auto" w:fill="F7CFD3" w:themeFill="accent1" w:themeFillTint="33"/>
      </w:tcPr>
    </w:tblStylePr>
  </w:style>
  <w:style w:type="table" w:styleId="ColorfulList-Accent2">
    <w:name w:val="Colorful List Accent 2"/>
    <w:basedOn w:val="TableNormal"/>
    <w:uiPriority w:val="99"/>
    <w:semiHidden/>
    <w:rsid w:val="00C25C71"/>
    <w:pPr>
      <w:spacing w:after="0" w:line="240" w:lineRule="auto"/>
    </w:pPr>
    <w:rPr>
      <w:color w:val="C0C0C0" w:themeColor="text1"/>
    </w:rPr>
    <w:tblPr>
      <w:tblStyleRowBandSize w:val="1"/>
      <w:tblStyleColBandSize w:val="1"/>
    </w:tblPr>
    <w:tcPr>
      <w:shd w:val="clear" w:color="auto" w:fill="EAF5FC" w:themeFill="accent2" w:themeFillTint="19"/>
    </w:tcPr>
    <w:tblStylePr w:type="firstRow">
      <w:rPr>
        <w:b/>
        <w:bCs/>
        <w:color w:val="FFFFFF" w:themeColor="background1"/>
      </w:rPr>
      <w:tblPr/>
      <w:tcPr>
        <w:tcBorders>
          <w:bottom w:val="single" w:sz="12" w:space="0" w:color="FFFFFF" w:themeColor="background1"/>
        </w:tcBorders>
        <w:shd w:val="clear" w:color="auto" w:fill="1C80BD" w:themeFill="accent2" w:themeFillShade="CC"/>
      </w:tcPr>
    </w:tblStylePr>
    <w:tblStylePr w:type="lastRow">
      <w:rPr>
        <w:b/>
        <w:bCs/>
        <w:color w:val="1C80BD" w:themeColor="accent2"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CE6F7" w:themeFill="accent2" w:themeFillTint="3F"/>
      </w:tcPr>
    </w:tblStylePr>
    <w:tblStylePr w:type="band1Horz">
      <w:tblPr/>
      <w:tcPr>
        <w:shd w:val="clear" w:color="auto" w:fill="D5EBF8" w:themeFill="accent2" w:themeFillTint="33"/>
      </w:tcPr>
    </w:tblStylePr>
  </w:style>
  <w:style w:type="table" w:styleId="ColorfulList-Accent3">
    <w:name w:val="Colorful List Accent 3"/>
    <w:basedOn w:val="TableNormal"/>
    <w:uiPriority w:val="99"/>
    <w:semiHidden/>
    <w:rsid w:val="00C25C71"/>
    <w:pPr>
      <w:spacing w:after="0" w:line="240" w:lineRule="auto"/>
    </w:pPr>
    <w:rPr>
      <w:color w:val="C0C0C0" w:themeColor="text1"/>
    </w:rPr>
    <w:tblPr>
      <w:tblStyleRowBandSize w:val="1"/>
      <w:tblStyleColBandSize w:val="1"/>
    </w:tblPr>
    <w:tcPr>
      <w:shd w:val="clear" w:color="auto" w:fill="FFFCDC" w:themeFill="accent3" w:themeFillTint="19"/>
    </w:tcPr>
    <w:tblStylePr w:type="firstRow">
      <w:rPr>
        <w:b/>
        <w:bCs/>
        <w:color w:val="FFFFFF" w:themeColor="background1"/>
      </w:rPr>
      <w:tblPr/>
      <w:tcPr>
        <w:tcBorders>
          <w:bottom w:val="single" w:sz="12" w:space="0" w:color="FFFFFF" w:themeColor="background1"/>
        </w:tcBorders>
        <w:shd w:val="clear" w:color="auto" w:fill="B05800" w:themeFill="accent4" w:themeFillShade="CC"/>
      </w:tcPr>
    </w:tblStylePr>
    <w:tblStylePr w:type="lastRow">
      <w:rPr>
        <w:b/>
        <w:bCs/>
        <w:color w:val="B05800" w:themeColor="accent4"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9A9" w:themeFill="accent3" w:themeFillTint="3F"/>
      </w:tcPr>
    </w:tblStylePr>
    <w:tblStylePr w:type="band1Horz">
      <w:tblPr/>
      <w:tcPr>
        <w:shd w:val="clear" w:color="auto" w:fill="FFFAB9" w:themeFill="accent3" w:themeFillTint="33"/>
      </w:tcPr>
    </w:tblStylePr>
  </w:style>
  <w:style w:type="table" w:styleId="ColorfulList-Accent4">
    <w:name w:val="Colorful List Accent 4"/>
    <w:basedOn w:val="TableNormal"/>
    <w:uiPriority w:val="99"/>
    <w:semiHidden/>
    <w:rsid w:val="00C25C71"/>
    <w:pPr>
      <w:spacing w:after="0" w:line="240" w:lineRule="auto"/>
    </w:pPr>
    <w:rPr>
      <w:color w:val="C0C0C0" w:themeColor="text1"/>
    </w:rPr>
    <w:tblPr>
      <w:tblStyleRowBandSize w:val="1"/>
      <w:tblStyleColBandSize w:val="1"/>
    </w:tblPr>
    <w:tcPr>
      <w:shd w:val="clear" w:color="auto" w:fill="FFF0E2" w:themeFill="accent4" w:themeFillTint="19"/>
    </w:tcPr>
    <w:tblStylePr w:type="firstRow">
      <w:rPr>
        <w:b/>
        <w:bCs/>
        <w:color w:val="FFFFFF" w:themeColor="background1"/>
      </w:rPr>
      <w:tblPr/>
      <w:tcPr>
        <w:tcBorders>
          <w:bottom w:val="single" w:sz="12" w:space="0" w:color="FFFFFF" w:themeColor="background1"/>
        </w:tcBorders>
        <w:shd w:val="clear" w:color="auto" w:fill="827A00" w:themeFill="accent3" w:themeFillShade="CC"/>
      </w:tcPr>
    </w:tblStylePr>
    <w:tblStylePr w:type="lastRow">
      <w:rPr>
        <w:b/>
        <w:bCs/>
        <w:color w:val="827A00" w:themeColor="accent3"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BB7" w:themeFill="accent4" w:themeFillTint="3F"/>
      </w:tcPr>
    </w:tblStylePr>
    <w:tblStylePr w:type="band1Horz">
      <w:tblPr/>
      <w:tcPr>
        <w:shd w:val="clear" w:color="auto" w:fill="FEE2C5" w:themeFill="accent4" w:themeFillTint="33"/>
      </w:tcPr>
    </w:tblStylePr>
  </w:style>
  <w:style w:type="table" w:styleId="ColorfulList-Accent5">
    <w:name w:val="Colorful List Accent 5"/>
    <w:basedOn w:val="TableNormal"/>
    <w:uiPriority w:val="99"/>
    <w:semiHidden/>
    <w:rsid w:val="00C25C71"/>
    <w:pPr>
      <w:spacing w:after="0" w:line="240" w:lineRule="auto"/>
    </w:pPr>
    <w:rPr>
      <w:color w:val="C0C0C0" w:themeColor="text1"/>
    </w:rPr>
    <w:tblPr>
      <w:tblStyleRowBandSize w:val="1"/>
      <w:tblStyleColBandSize w:val="1"/>
    </w:tblPr>
    <w:tcPr>
      <w:shd w:val="clear" w:color="auto" w:fill="F4F4F2" w:themeFill="accent5" w:themeFillTint="19"/>
    </w:tcPr>
    <w:tblStylePr w:type="firstRow">
      <w:rPr>
        <w:b/>
        <w:bCs/>
        <w:color w:val="FFFFFF" w:themeColor="background1"/>
      </w:rPr>
      <w:tblPr/>
      <w:tcPr>
        <w:tcBorders>
          <w:bottom w:val="single" w:sz="12" w:space="0" w:color="FFFFFF" w:themeColor="background1"/>
        </w:tcBorders>
        <w:shd w:val="clear" w:color="auto" w:fill="703262" w:themeFill="accent6" w:themeFillShade="CC"/>
      </w:tcPr>
    </w:tblStylePr>
    <w:tblStylePr w:type="lastRow">
      <w:rPr>
        <w:b/>
        <w:bCs/>
        <w:color w:val="703262" w:themeColor="accent6"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3E4DE" w:themeFill="accent5" w:themeFillTint="3F"/>
      </w:tcPr>
    </w:tblStylePr>
    <w:tblStylePr w:type="band1Horz">
      <w:tblPr/>
      <w:tcPr>
        <w:shd w:val="clear" w:color="auto" w:fill="E8E9E4" w:themeFill="accent5" w:themeFillTint="33"/>
      </w:tcPr>
    </w:tblStylePr>
  </w:style>
  <w:style w:type="table" w:styleId="ColorfulList-Accent6">
    <w:name w:val="Colorful List Accent 6"/>
    <w:basedOn w:val="TableNormal"/>
    <w:uiPriority w:val="99"/>
    <w:semiHidden/>
    <w:rsid w:val="00C25C71"/>
    <w:pPr>
      <w:spacing w:after="0" w:line="240" w:lineRule="auto"/>
    </w:pPr>
    <w:rPr>
      <w:color w:val="C0C0C0" w:themeColor="text1"/>
    </w:rPr>
    <w:tblPr>
      <w:tblStyleRowBandSize w:val="1"/>
      <w:tblStyleColBandSize w:val="1"/>
    </w:tblPr>
    <w:tcPr>
      <w:shd w:val="clear" w:color="auto" w:fill="F5EAF3" w:themeFill="accent6" w:themeFillTint="19"/>
    </w:tcPr>
    <w:tblStylePr w:type="firstRow">
      <w:rPr>
        <w:b/>
        <w:bCs/>
        <w:color w:val="FFFFFF" w:themeColor="background1"/>
      </w:rPr>
      <w:tblPr/>
      <w:tcPr>
        <w:tcBorders>
          <w:bottom w:val="single" w:sz="12" w:space="0" w:color="FFFFFF" w:themeColor="background1"/>
        </w:tcBorders>
        <w:shd w:val="clear" w:color="auto" w:fill="727761" w:themeFill="accent5" w:themeFillShade="CC"/>
      </w:tcPr>
    </w:tblStylePr>
    <w:tblStylePr w:type="lastRow">
      <w:rPr>
        <w:b/>
        <w:bCs/>
        <w:color w:val="727761" w:themeColor="accent5" w:themeShade="CC"/>
      </w:rPr>
      <w:tblPr/>
      <w:tcPr>
        <w:tcBorders>
          <w:top w:val="single" w:sz="12" w:space="0" w:color="C0C0C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CAE1" w:themeFill="accent6" w:themeFillTint="3F"/>
      </w:tcPr>
    </w:tblStylePr>
    <w:tblStylePr w:type="band1Horz">
      <w:tblPr/>
      <w:tcPr>
        <w:shd w:val="clear" w:color="auto" w:fill="ECD4E6" w:themeFill="accent6" w:themeFillTint="33"/>
      </w:tcPr>
    </w:tblStylePr>
  </w:style>
  <w:style w:type="table" w:customStyle="1" w:styleId="ColorfulShading1">
    <w:name w:val="Colorful Shading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0C0C0" w:themeColor="text1"/>
        <w:bottom w:val="single" w:sz="4" w:space="0" w:color="C0C0C0" w:themeColor="text1"/>
        <w:right w:val="single" w:sz="4" w:space="0" w:color="C0C0C0" w:themeColor="text1"/>
        <w:insideH w:val="single" w:sz="4" w:space="0" w:color="FFFFFF" w:themeColor="background1"/>
        <w:insideV w:val="single" w:sz="4" w:space="0" w:color="FFFFFF" w:themeColor="background1"/>
      </w:tblBorders>
    </w:tblPr>
    <w:tcPr>
      <w:shd w:val="clear" w:color="auto" w:fill="F8F8F8" w:themeFill="tex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373" w:themeFill="text1" w:themeFillShade="99"/>
      </w:tcPr>
    </w:tblStylePr>
    <w:tblStylePr w:type="firstCol">
      <w:rPr>
        <w:color w:val="FFFFFF" w:themeColor="background1"/>
      </w:rPr>
      <w:tblPr/>
      <w:tcPr>
        <w:tcBorders>
          <w:top w:val="nil"/>
          <w:left w:val="nil"/>
          <w:bottom w:val="nil"/>
          <w:right w:val="nil"/>
          <w:insideH w:val="single" w:sz="4" w:space="0" w:color="737373" w:themeColor="text1" w:themeShade="99"/>
          <w:insideV w:val="nil"/>
        </w:tcBorders>
        <w:shd w:val="clear" w:color="auto" w:fill="73737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8F8F8F" w:themeFill="text1" w:themeFillShade="BF"/>
      </w:tcPr>
    </w:tblStylePr>
    <w:tblStylePr w:type="band1Vert">
      <w:tblPr/>
      <w:tcPr>
        <w:shd w:val="clear" w:color="auto" w:fill="E5E5E5" w:themeFill="text1" w:themeFillTint="66"/>
      </w:tcPr>
    </w:tblStylePr>
    <w:tblStylePr w:type="band1Horz">
      <w:tblPr/>
      <w:tcPr>
        <w:shd w:val="clear" w:color="auto" w:fill="DFDFDF" w:themeFill="text1" w:themeFillTint="7F"/>
      </w:tcPr>
    </w:tblStylePr>
    <w:tblStylePr w:type="neCell">
      <w:rPr>
        <w:color w:val="C0C0C0" w:themeColor="text1"/>
      </w:rPr>
    </w:tblStylePr>
    <w:tblStylePr w:type="nwCell">
      <w:rPr>
        <w:color w:val="C0C0C0" w:themeColor="text1"/>
      </w:rPr>
    </w:tblStylePr>
  </w:style>
  <w:style w:type="table" w:styleId="ColorfulShading-Accent1">
    <w:name w:val="Colorful Shading Accent 1"/>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CC2131" w:themeColor="accent1"/>
        <w:bottom w:val="single" w:sz="4" w:space="0" w:color="CC2131" w:themeColor="accent1"/>
        <w:right w:val="single" w:sz="4" w:space="0" w:color="CC2131" w:themeColor="accent1"/>
        <w:insideH w:val="single" w:sz="4" w:space="0" w:color="FFFFFF" w:themeColor="background1"/>
        <w:insideV w:val="single" w:sz="4" w:space="0" w:color="FFFFFF" w:themeColor="background1"/>
      </w:tblBorders>
    </w:tblPr>
    <w:tcPr>
      <w:shd w:val="clear" w:color="auto" w:fill="FBE7E9" w:themeFill="accent1"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A131D" w:themeFill="accent1" w:themeFillShade="99"/>
      </w:tcPr>
    </w:tblStylePr>
    <w:tblStylePr w:type="firstCol">
      <w:rPr>
        <w:color w:val="FFFFFF" w:themeColor="background1"/>
      </w:rPr>
      <w:tblPr/>
      <w:tcPr>
        <w:tcBorders>
          <w:top w:val="nil"/>
          <w:left w:val="nil"/>
          <w:bottom w:val="nil"/>
          <w:right w:val="nil"/>
          <w:insideH w:val="single" w:sz="4" w:space="0" w:color="7A131D" w:themeColor="accent1" w:themeShade="99"/>
          <w:insideV w:val="nil"/>
        </w:tcBorders>
        <w:shd w:val="clear" w:color="auto" w:fill="7A131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7A131D" w:themeFill="accent1" w:themeFillShade="99"/>
      </w:tcPr>
    </w:tblStylePr>
    <w:tblStylePr w:type="band1Vert">
      <w:tblPr/>
      <w:tcPr>
        <w:shd w:val="clear" w:color="auto" w:fill="EFA0A7" w:themeFill="accent1" w:themeFillTint="66"/>
      </w:tcPr>
    </w:tblStylePr>
    <w:tblStylePr w:type="band1Horz">
      <w:tblPr/>
      <w:tcPr>
        <w:shd w:val="clear" w:color="auto" w:fill="EC8992" w:themeFill="accent1" w:themeFillTint="7F"/>
      </w:tcPr>
    </w:tblStylePr>
    <w:tblStylePr w:type="neCell">
      <w:rPr>
        <w:color w:val="C0C0C0" w:themeColor="text1"/>
      </w:rPr>
    </w:tblStylePr>
    <w:tblStylePr w:type="nwCell">
      <w:rPr>
        <w:color w:val="C0C0C0" w:themeColor="text1"/>
      </w:rPr>
    </w:tblStylePr>
  </w:style>
  <w:style w:type="table" w:styleId="ColorfulShading-Accent2">
    <w:name w:val="Colorful Shading Accent 2"/>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319EE0" w:themeColor="accent2"/>
        <w:left w:val="single" w:sz="4" w:space="0" w:color="319EE0" w:themeColor="accent2"/>
        <w:bottom w:val="single" w:sz="4" w:space="0" w:color="319EE0" w:themeColor="accent2"/>
        <w:right w:val="single" w:sz="4" w:space="0" w:color="319EE0" w:themeColor="accent2"/>
        <w:insideH w:val="single" w:sz="4" w:space="0" w:color="FFFFFF" w:themeColor="background1"/>
        <w:insideV w:val="single" w:sz="4" w:space="0" w:color="FFFFFF" w:themeColor="background1"/>
      </w:tblBorders>
    </w:tblPr>
    <w:tcPr>
      <w:shd w:val="clear" w:color="auto" w:fill="EAF5FC" w:themeFill="accent2" w:themeFillTint="19"/>
    </w:tcPr>
    <w:tblStylePr w:type="firstRow">
      <w:rPr>
        <w:b/>
        <w:bCs/>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5608E" w:themeFill="accent2" w:themeFillShade="99"/>
      </w:tcPr>
    </w:tblStylePr>
    <w:tblStylePr w:type="firstCol">
      <w:rPr>
        <w:color w:val="FFFFFF" w:themeColor="background1"/>
      </w:rPr>
      <w:tblPr/>
      <w:tcPr>
        <w:tcBorders>
          <w:top w:val="nil"/>
          <w:left w:val="nil"/>
          <w:bottom w:val="nil"/>
          <w:right w:val="nil"/>
          <w:insideH w:val="single" w:sz="4" w:space="0" w:color="15608E" w:themeColor="accent2" w:themeShade="99"/>
          <w:insideV w:val="nil"/>
        </w:tcBorders>
        <w:shd w:val="clear" w:color="auto" w:fill="15608E"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5608E" w:themeFill="accent2" w:themeFillShade="99"/>
      </w:tcPr>
    </w:tblStylePr>
    <w:tblStylePr w:type="band1Vert">
      <w:tblPr/>
      <w:tcPr>
        <w:shd w:val="clear" w:color="auto" w:fill="ACD7F2" w:themeFill="accent2" w:themeFillTint="66"/>
      </w:tcPr>
    </w:tblStylePr>
    <w:tblStylePr w:type="band1Horz">
      <w:tblPr/>
      <w:tcPr>
        <w:shd w:val="clear" w:color="auto" w:fill="98CEEF" w:themeFill="accent2" w:themeFillTint="7F"/>
      </w:tcPr>
    </w:tblStylePr>
    <w:tblStylePr w:type="neCell">
      <w:rPr>
        <w:color w:val="C0C0C0" w:themeColor="text1"/>
      </w:rPr>
    </w:tblStylePr>
    <w:tblStylePr w:type="nwCell">
      <w:rPr>
        <w:color w:val="C0C0C0" w:themeColor="text1"/>
      </w:rPr>
    </w:tblStylePr>
  </w:style>
  <w:style w:type="table" w:styleId="ColorfulShading-Accent3">
    <w:name w:val="Colorful Shading Accent 3"/>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DD6F01" w:themeColor="accent4"/>
        <w:left w:val="single" w:sz="4" w:space="0" w:color="A39A00" w:themeColor="accent3"/>
        <w:bottom w:val="single" w:sz="4" w:space="0" w:color="A39A00" w:themeColor="accent3"/>
        <w:right w:val="single" w:sz="4" w:space="0" w:color="A39A00" w:themeColor="accent3"/>
        <w:insideH w:val="single" w:sz="4" w:space="0" w:color="FFFFFF" w:themeColor="background1"/>
        <w:insideV w:val="single" w:sz="4" w:space="0" w:color="FFFFFF" w:themeColor="background1"/>
      </w:tblBorders>
    </w:tblPr>
    <w:tcPr>
      <w:shd w:val="clear" w:color="auto" w:fill="FFFCDC" w:themeFill="accent3" w:themeFillTint="19"/>
    </w:tcPr>
    <w:tblStylePr w:type="firstRow">
      <w:rPr>
        <w:b/>
        <w:bCs/>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15B00" w:themeFill="accent3" w:themeFillShade="99"/>
      </w:tcPr>
    </w:tblStylePr>
    <w:tblStylePr w:type="firstCol">
      <w:rPr>
        <w:color w:val="FFFFFF" w:themeColor="background1"/>
      </w:rPr>
      <w:tblPr/>
      <w:tcPr>
        <w:tcBorders>
          <w:top w:val="nil"/>
          <w:left w:val="nil"/>
          <w:bottom w:val="nil"/>
          <w:right w:val="nil"/>
          <w:insideH w:val="single" w:sz="4" w:space="0" w:color="615B00" w:themeColor="accent3" w:themeShade="99"/>
          <w:insideV w:val="nil"/>
        </w:tcBorders>
        <w:shd w:val="clear" w:color="auto" w:fill="61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15B00" w:themeFill="accent3" w:themeFillShade="99"/>
      </w:tcPr>
    </w:tblStylePr>
    <w:tblStylePr w:type="band1Vert">
      <w:tblPr/>
      <w:tcPr>
        <w:shd w:val="clear" w:color="auto" w:fill="FFF674" w:themeFill="accent3" w:themeFillTint="66"/>
      </w:tcPr>
    </w:tblStylePr>
    <w:tblStylePr w:type="band1Horz">
      <w:tblPr/>
      <w:tcPr>
        <w:shd w:val="clear" w:color="auto" w:fill="FFF452" w:themeFill="accent3" w:themeFillTint="7F"/>
      </w:tcPr>
    </w:tblStylePr>
  </w:style>
  <w:style w:type="table" w:styleId="ColorfulShading-Accent4">
    <w:name w:val="Colorful Shading Accent 4"/>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A39A00" w:themeColor="accent3"/>
        <w:left w:val="single" w:sz="4" w:space="0" w:color="DD6F01" w:themeColor="accent4"/>
        <w:bottom w:val="single" w:sz="4" w:space="0" w:color="DD6F01" w:themeColor="accent4"/>
        <w:right w:val="single" w:sz="4" w:space="0" w:color="DD6F01" w:themeColor="accent4"/>
        <w:insideH w:val="single" w:sz="4" w:space="0" w:color="FFFFFF" w:themeColor="background1"/>
        <w:insideV w:val="single" w:sz="4" w:space="0" w:color="FFFFFF" w:themeColor="background1"/>
      </w:tblBorders>
    </w:tblPr>
    <w:tcPr>
      <w:shd w:val="clear" w:color="auto" w:fill="FFF0E2" w:themeFill="accent4" w:themeFillTint="19"/>
    </w:tcPr>
    <w:tblStylePr w:type="firstRow">
      <w:rPr>
        <w:b/>
        <w:bCs/>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44200" w:themeFill="accent4" w:themeFillShade="99"/>
      </w:tcPr>
    </w:tblStylePr>
    <w:tblStylePr w:type="firstCol">
      <w:rPr>
        <w:color w:val="FFFFFF" w:themeColor="background1"/>
      </w:rPr>
      <w:tblPr/>
      <w:tcPr>
        <w:tcBorders>
          <w:top w:val="nil"/>
          <w:left w:val="nil"/>
          <w:bottom w:val="nil"/>
          <w:right w:val="nil"/>
          <w:insideH w:val="single" w:sz="4" w:space="0" w:color="844200" w:themeColor="accent4" w:themeShade="99"/>
          <w:insideV w:val="nil"/>
        </w:tcBorders>
        <w:shd w:val="clear" w:color="auto" w:fill="8442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44200" w:themeFill="accent4" w:themeFillShade="99"/>
      </w:tcPr>
    </w:tblStylePr>
    <w:tblStylePr w:type="band1Vert">
      <w:tblPr/>
      <w:tcPr>
        <w:shd w:val="clear" w:color="auto" w:fill="FEC58C" w:themeFill="accent4" w:themeFillTint="66"/>
      </w:tcPr>
    </w:tblStylePr>
    <w:tblStylePr w:type="band1Horz">
      <w:tblPr/>
      <w:tcPr>
        <w:shd w:val="clear" w:color="auto" w:fill="FEB66F" w:themeFill="accent4" w:themeFillTint="7F"/>
      </w:tcPr>
    </w:tblStylePr>
    <w:tblStylePr w:type="neCell">
      <w:rPr>
        <w:color w:val="C0C0C0" w:themeColor="text1"/>
      </w:rPr>
    </w:tblStylePr>
    <w:tblStylePr w:type="nwCell">
      <w:rPr>
        <w:color w:val="C0C0C0" w:themeColor="text1"/>
      </w:rPr>
    </w:tblStylePr>
  </w:style>
  <w:style w:type="table" w:styleId="ColorfulShading-Accent5">
    <w:name w:val="Colorful Shading Accent 5"/>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D3F7C" w:themeColor="accent6"/>
        <w:left w:val="single" w:sz="4" w:space="0" w:color="8F947C" w:themeColor="accent5"/>
        <w:bottom w:val="single" w:sz="4" w:space="0" w:color="8F947C" w:themeColor="accent5"/>
        <w:right w:val="single" w:sz="4" w:space="0" w:color="8F947C" w:themeColor="accent5"/>
        <w:insideH w:val="single" w:sz="4" w:space="0" w:color="FFFFFF" w:themeColor="background1"/>
        <w:insideV w:val="single" w:sz="4" w:space="0" w:color="FFFFFF" w:themeColor="background1"/>
      </w:tblBorders>
    </w:tblPr>
    <w:tcPr>
      <w:shd w:val="clear" w:color="auto" w:fill="F4F4F2" w:themeFill="accent5" w:themeFillTint="19"/>
    </w:tcPr>
    <w:tblStylePr w:type="firstRow">
      <w:rPr>
        <w:b/>
        <w:bCs/>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65949" w:themeFill="accent5" w:themeFillShade="99"/>
      </w:tcPr>
    </w:tblStylePr>
    <w:tblStylePr w:type="firstCol">
      <w:rPr>
        <w:color w:val="FFFFFF" w:themeColor="background1"/>
      </w:rPr>
      <w:tblPr/>
      <w:tcPr>
        <w:tcBorders>
          <w:top w:val="nil"/>
          <w:left w:val="nil"/>
          <w:bottom w:val="nil"/>
          <w:right w:val="nil"/>
          <w:insideH w:val="single" w:sz="4" w:space="0" w:color="565949" w:themeColor="accent5" w:themeShade="99"/>
          <w:insideV w:val="nil"/>
        </w:tcBorders>
        <w:shd w:val="clear" w:color="auto" w:fill="5659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65949" w:themeFill="accent5" w:themeFillShade="99"/>
      </w:tcPr>
    </w:tblStylePr>
    <w:tblStylePr w:type="band1Vert">
      <w:tblPr/>
      <w:tcPr>
        <w:shd w:val="clear" w:color="auto" w:fill="D2D4CA" w:themeFill="accent5" w:themeFillTint="66"/>
      </w:tcPr>
    </w:tblStylePr>
    <w:tblStylePr w:type="band1Horz">
      <w:tblPr/>
      <w:tcPr>
        <w:shd w:val="clear" w:color="auto" w:fill="C7C9BD" w:themeFill="accent5" w:themeFillTint="7F"/>
      </w:tcPr>
    </w:tblStylePr>
    <w:tblStylePr w:type="neCell">
      <w:rPr>
        <w:color w:val="C0C0C0" w:themeColor="text1"/>
      </w:rPr>
    </w:tblStylePr>
    <w:tblStylePr w:type="nwCell">
      <w:rPr>
        <w:color w:val="C0C0C0" w:themeColor="text1"/>
      </w:rPr>
    </w:tblStylePr>
  </w:style>
  <w:style w:type="table" w:styleId="ColorfulShading-Accent6">
    <w:name w:val="Colorful Shading Accent 6"/>
    <w:basedOn w:val="TableNormal"/>
    <w:uiPriority w:val="99"/>
    <w:semiHidden/>
    <w:rsid w:val="00C25C71"/>
    <w:pPr>
      <w:spacing w:after="0" w:line="240" w:lineRule="auto"/>
    </w:pPr>
    <w:rPr>
      <w:color w:val="C0C0C0" w:themeColor="text1"/>
    </w:rPr>
    <w:tblPr>
      <w:tblStyleRowBandSize w:val="1"/>
      <w:tblStyleColBandSize w:val="1"/>
      <w:tblBorders>
        <w:top w:val="single" w:sz="24" w:space="0" w:color="8F947C" w:themeColor="accent5"/>
        <w:left w:val="single" w:sz="4" w:space="0" w:color="8D3F7C" w:themeColor="accent6"/>
        <w:bottom w:val="single" w:sz="4" w:space="0" w:color="8D3F7C" w:themeColor="accent6"/>
        <w:right w:val="single" w:sz="4" w:space="0" w:color="8D3F7C" w:themeColor="accent6"/>
        <w:insideH w:val="single" w:sz="4" w:space="0" w:color="FFFFFF" w:themeColor="background1"/>
        <w:insideV w:val="single" w:sz="4" w:space="0" w:color="FFFFFF" w:themeColor="background1"/>
      </w:tblBorders>
    </w:tblPr>
    <w:tcPr>
      <w:shd w:val="clear" w:color="auto" w:fill="F5EAF3" w:themeFill="accent6" w:themeFillTint="19"/>
    </w:tcPr>
    <w:tblStylePr w:type="firstRow">
      <w:rPr>
        <w:b/>
        <w:bCs/>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4254A" w:themeFill="accent6" w:themeFillShade="99"/>
      </w:tcPr>
    </w:tblStylePr>
    <w:tblStylePr w:type="firstCol">
      <w:rPr>
        <w:color w:val="FFFFFF" w:themeColor="background1"/>
      </w:rPr>
      <w:tblPr/>
      <w:tcPr>
        <w:tcBorders>
          <w:top w:val="nil"/>
          <w:left w:val="nil"/>
          <w:bottom w:val="nil"/>
          <w:right w:val="nil"/>
          <w:insideH w:val="single" w:sz="4" w:space="0" w:color="54254A" w:themeColor="accent6" w:themeShade="99"/>
          <w:insideV w:val="nil"/>
        </w:tcBorders>
        <w:shd w:val="clear" w:color="auto" w:fill="54254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4254A" w:themeFill="accent6" w:themeFillShade="99"/>
      </w:tcPr>
    </w:tblStylePr>
    <w:tblStylePr w:type="band1Vert">
      <w:tblPr/>
      <w:tcPr>
        <w:shd w:val="clear" w:color="auto" w:fill="D9AACE" w:themeFill="accent6" w:themeFillTint="66"/>
      </w:tcPr>
    </w:tblStylePr>
    <w:tblStylePr w:type="band1Horz">
      <w:tblPr/>
      <w:tcPr>
        <w:shd w:val="clear" w:color="auto" w:fill="D095C3" w:themeFill="accent6" w:themeFillTint="7F"/>
      </w:tcPr>
    </w:tblStylePr>
    <w:tblStylePr w:type="neCell">
      <w:rPr>
        <w:color w:val="C0C0C0" w:themeColor="text1"/>
      </w:rPr>
    </w:tblStylePr>
    <w:tblStylePr w:type="nwCell">
      <w:rPr>
        <w:color w:val="C0C0C0" w:themeColor="text1"/>
      </w:rPr>
    </w:tblStylePr>
  </w:style>
  <w:style w:type="table" w:customStyle="1" w:styleId="DarkList1">
    <w:name w:val="Dark List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0C0C0" w:themeFill="tex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text1" w:themeFillShade="BF"/>
      </w:tcPr>
    </w:tblStylePr>
    <w:tblStylePr w:type="band1Vert">
      <w:tblPr/>
      <w:tcPr>
        <w:tcBorders>
          <w:top w:val="nil"/>
          <w:left w:val="nil"/>
          <w:bottom w:val="nil"/>
          <w:right w:val="nil"/>
          <w:insideH w:val="nil"/>
          <w:insideV w:val="nil"/>
        </w:tcBorders>
        <w:shd w:val="clear" w:color="auto" w:fill="8F8F8F" w:themeFill="text1" w:themeFillShade="BF"/>
      </w:tcPr>
    </w:tblStylePr>
    <w:tblStylePr w:type="band1Horz">
      <w:tblPr/>
      <w:tcPr>
        <w:tcBorders>
          <w:top w:val="nil"/>
          <w:left w:val="nil"/>
          <w:bottom w:val="nil"/>
          <w:right w:val="nil"/>
          <w:insideH w:val="nil"/>
          <w:insideV w:val="nil"/>
        </w:tcBorders>
        <w:shd w:val="clear" w:color="auto" w:fill="8F8F8F" w:themeFill="text1" w:themeFillShade="BF"/>
      </w:tcPr>
    </w:tblStylePr>
  </w:style>
  <w:style w:type="table" w:styleId="DarkList-Accent1">
    <w:name w:val="Dark List Accent 1"/>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CC213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5101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98182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981824" w:themeFill="accent1" w:themeFillShade="BF"/>
      </w:tcPr>
    </w:tblStylePr>
    <w:tblStylePr w:type="band1Vert">
      <w:tblPr/>
      <w:tcPr>
        <w:tcBorders>
          <w:top w:val="nil"/>
          <w:left w:val="nil"/>
          <w:bottom w:val="nil"/>
          <w:right w:val="nil"/>
          <w:insideH w:val="nil"/>
          <w:insideV w:val="nil"/>
        </w:tcBorders>
        <w:shd w:val="clear" w:color="auto" w:fill="981824" w:themeFill="accent1" w:themeFillShade="BF"/>
      </w:tcPr>
    </w:tblStylePr>
    <w:tblStylePr w:type="band1Horz">
      <w:tblPr/>
      <w:tcPr>
        <w:tcBorders>
          <w:top w:val="nil"/>
          <w:left w:val="nil"/>
          <w:bottom w:val="nil"/>
          <w:right w:val="nil"/>
          <w:insideH w:val="nil"/>
          <w:insideV w:val="nil"/>
        </w:tcBorders>
        <w:shd w:val="clear" w:color="auto" w:fill="981824" w:themeFill="accent1" w:themeFillShade="BF"/>
      </w:tcPr>
    </w:tblStylePr>
  </w:style>
  <w:style w:type="table" w:styleId="DarkList-Accent2">
    <w:name w:val="Dark List Accent 2"/>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319EE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114F75"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A78B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A78B1" w:themeFill="accent2" w:themeFillShade="BF"/>
      </w:tcPr>
    </w:tblStylePr>
    <w:tblStylePr w:type="band1Vert">
      <w:tblPr/>
      <w:tcPr>
        <w:tcBorders>
          <w:top w:val="nil"/>
          <w:left w:val="nil"/>
          <w:bottom w:val="nil"/>
          <w:right w:val="nil"/>
          <w:insideH w:val="nil"/>
          <w:insideV w:val="nil"/>
        </w:tcBorders>
        <w:shd w:val="clear" w:color="auto" w:fill="1A78B1" w:themeFill="accent2" w:themeFillShade="BF"/>
      </w:tcPr>
    </w:tblStylePr>
    <w:tblStylePr w:type="band1Horz">
      <w:tblPr/>
      <w:tcPr>
        <w:tcBorders>
          <w:top w:val="nil"/>
          <w:left w:val="nil"/>
          <w:bottom w:val="nil"/>
          <w:right w:val="nil"/>
          <w:insideH w:val="nil"/>
          <w:insideV w:val="nil"/>
        </w:tcBorders>
        <w:shd w:val="clear" w:color="auto" w:fill="1A78B1" w:themeFill="accent2" w:themeFillShade="BF"/>
      </w:tcPr>
    </w:tblStylePr>
  </w:style>
  <w:style w:type="table" w:styleId="DarkList-Accent3">
    <w:name w:val="Dark List Accent 3"/>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A39A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51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A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A7200" w:themeFill="accent3" w:themeFillShade="BF"/>
      </w:tcPr>
    </w:tblStylePr>
    <w:tblStylePr w:type="band1Vert">
      <w:tblPr/>
      <w:tcPr>
        <w:tcBorders>
          <w:top w:val="nil"/>
          <w:left w:val="nil"/>
          <w:bottom w:val="nil"/>
          <w:right w:val="nil"/>
          <w:insideH w:val="nil"/>
          <w:insideV w:val="nil"/>
        </w:tcBorders>
        <w:shd w:val="clear" w:color="auto" w:fill="7A7200" w:themeFill="accent3" w:themeFillShade="BF"/>
      </w:tcPr>
    </w:tblStylePr>
    <w:tblStylePr w:type="band1Horz">
      <w:tblPr/>
      <w:tcPr>
        <w:tcBorders>
          <w:top w:val="nil"/>
          <w:left w:val="nil"/>
          <w:bottom w:val="nil"/>
          <w:right w:val="nil"/>
          <w:insideH w:val="nil"/>
          <w:insideV w:val="nil"/>
        </w:tcBorders>
        <w:shd w:val="clear" w:color="auto" w:fill="7A7200" w:themeFill="accent3" w:themeFillShade="BF"/>
      </w:tcPr>
    </w:tblStylePr>
  </w:style>
  <w:style w:type="table" w:styleId="DarkList-Accent4">
    <w:name w:val="Dark List Accent 4"/>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DD6F01"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6D36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552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55200" w:themeFill="accent4" w:themeFillShade="BF"/>
      </w:tcPr>
    </w:tblStylePr>
    <w:tblStylePr w:type="band1Vert">
      <w:tblPr/>
      <w:tcPr>
        <w:tcBorders>
          <w:top w:val="nil"/>
          <w:left w:val="nil"/>
          <w:bottom w:val="nil"/>
          <w:right w:val="nil"/>
          <w:insideH w:val="nil"/>
          <w:insideV w:val="nil"/>
        </w:tcBorders>
        <w:shd w:val="clear" w:color="auto" w:fill="A55200" w:themeFill="accent4" w:themeFillShade="BF"/>
      </w:tcPr>
    </w:tblStylePr>
    <w:tblStylePr w:type="band1Horz">
      <w:tblPr/>
      <w:tcPr>
        <w:tcBorders>
          <w:top w:val="nil"/>
          <w:left w:val="nil"/>
          <w:bottom w:val="nil"/>
          <w:right w:val="nil"/>
          <w:insideH w:val="nil"/>
          <w:insideV w:val="nil"/>
        </w:tcBorders>
        <w:shd w:val="clear" w:color="auto" w:fill="A55200" w:themeFill="accent4" w:themeFillShade="BF"/>
      </w:tcPr>
    </w:tblStylePr>
  </w:style>
  <w:style w:type="table" w:styleId="DarkList-Accent5">
    <w:name w:val="Dark List Accent 5"/>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F947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74A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6B70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6B705B" w:themeFill="accent5" w:themeFillShade="BF"/>
      </w:tcPr>
    </w:tblStylePr>
    <w:tblStylePr w:type="band1Vert">
      <w:tblPr/>
      <w:tcPr>
        <w:tcBorders>
          <w:top w:val="nil"/>
          <w:left w:val="nil"/>
          <w:bottom w:val="nil"/>
          <w:right w:val="nil"/>
          <w:insideH w:val="nil"/>
          <w:insideV w:val="nil"/>
        </w:tcBorders>
        <w:shd w:val="clear" w:color="auto" w:fill="6B705B" w:themeFill="accent5" w:themeFillShade="BF"/>
      </w:tcPr>
    </w:tblStylePr>
    <w:tblStylePr w:type="band1Horz">
      <w:tblPr/>
      <w:tcPr>
        <w:tcBorders>
          <w:top w:val="nil"/>
          <w:left w:val="nil"/>
          <w:bottom w:val="nil"/>
          <w:right w:val="nil"/>
          <w:insideH w:val="nil"/>
          <w:insideV w:val="nil"/>
        </w:tcBorders>
        <w:shd w:val="clear" w:color="auto" w:fill="6B705B" w:themeFill="accent5" w:themeFillShade="BF"/>
      </w:tcPr>
    </w:tblStylePr>
  </w:style>
  <w:style w:type="table" w:styleId="DarkList-Accent6">
    <w:name w:val="Dark List Accent 6"/>
    <w:basedOn w:val="TableNormal"/>
    <w:uiPriority w:val="99"/>
    <w:semiHidden/>
    <w:rsid w:val="00C25C71"/>
    <w:pPr>
      <w:spacing w:after="0" w:line="240" w:lineRule="auto"/>
    </w:pPr>
    <w:rPr>
      <w:color w:val="FFFFFF" w:themeColor="background1"/>
    </w:rPr>
    <w:tblPr>
      <w:tblStyleRowBandSize w:val="1"/>
      <w:tblStyleColBandSize w:val="1"/>
    </w:tblPr>
    <w:tcPr>
      <w:shd w:val="clear" w:color="auto" w:fill="8D3F7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C0C0C0" w:themeFill="text1"/>
      </w:tcPr>
    </w:tblStylePr>
    <w:tblStylePr w:type="lastRow">
      <w:tblPr/>
      <w:tcPr>
        <w:tcBorders>
          <w:top w:val="single" w:sz="18" w:space="0" w:color="FFFFFF" w:themeColor="background1"/>
          <w:left w:val="nil"/>
          <w:bottom w:val="nil"/>
          <w:right w:val="nil"/>
          <w:insideH w:val="nil"/>
          <w:insideV w:val="nil"/>
        </w:tcBorders>
        <w:shd w:val="clear" w:color="auto" w:fill="461F3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92F5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92F5C" w:themeFill="accent6" w:themeFillShade="BF"/>
      </w:tcPr>
    </w:tblStylePr>
    <w:tblStylePr w:type="band1Vert">
      <w:tblPr/>
      <w:tcPr>
        <w:tcBorders>
          <w:top w:val="nil"/>
          <w:left w:val="nil"/>
          <w:bottom w:val="nil"/>
          <w:right w:val="nil"/>
          <w:insideH w:val="nil"/>
          <w:insideV w:val="nil"/>
        </w:tcBorders>
        <w:shd w:val="clear" w:color="auto" w:fill="692F5C" w:themeFill="accent6" w:themeFillShade="BF"/>
      </w:tcPr>
    </w:tblStylePr>
    <w:tblStylePr w:type="band1Horz">
      <w:tblPr/>
      <w:tcPr>
        <w:tcBorders>
          <w:top w:val="nil"/>
          <w:left w:val="nil"/>
          <w:bottom w:val="nil"/>
          <w:right w:val="nil"/>
          <w:insideH w:val="nil"/>
          <w:insideV w:val="nil"/>
        </w:tcBorders>
        <w:shd w:val="clear" w:color="auto" w:fill="692F5C" w:themeFill="accent6" w:themeFillShade="BF"/>
      </w:tcPr>
    </w:tblStylePr>
  </w:style>
  <w:style w:type="table" w:customStyle="1" w:styleId="LightGrid1">
    <w:name w:val="Light Grid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18" w:space="0" w:color="C0C0C0" w:themeColor="text1"/>
          <w:right w:val="single" w:sz="8" w:space="0" w:color="C0C0C0" w:themeColor="text1"/>
          <w:insideH w:val="nil"/>
          <w:insideV w:val="single" w:sz="8" w:space="0" w:color="C0C0C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insideH w:val="nil"/>
          <w:insideV w:val="single" w:sz="8" w:space="0" w:color="C0C0C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shd w:val="clear" w:color="auto" w:fill="EFEFEF" w:themeFill="text1" w:themeFillTint="3F"/>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shd w:val="clear" w:color="auto" w:fill="EFEFEF" w:themeFill="text1" w:themeFillTint="3F"/>
      </w:tcPr>
    </w:tblStylePr>
    <w:tblStylePr w:type="band2Horz">
      <w:tblPr/>
      <w:tcPr>
        <w:tcBorders>
          <w:top w:val="single" w:sz="8" w:space="0" w:color="C0C0C0" w:themeColor="text1"/>
          <w:left w:val="single" w:sz="8" w:space="0" w:color="C0C0C0" w:themeColor="text1"/>
          <w:bottom w:val="single" w:sz="8" w:space="0" w:color="C0C0C0" w:themeColor="text1"/>
          <w:right w:val="single" w:sz="8" w:space="0" w:color="C0C0C0" w:themeColor="text1"/>
          <w:insideV w:val="single" w:sz="8" w:space="0" w:color="C0C0C0" w:themeColor="text1"/>
        </w:tcBorders>
      </w:tcPr>
    </w:tblStylePr>
  </w:style>
  <w:style w:type="table" w:customStyle="1" w:styleId="LightGrid-Accent11">
    <w:name w:val="Light Grid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18" w:space="0" w:color="CC2131" w:themeColor="accent1"/>
          <w:right w:val="single" w:sz="8" w:space="0" w:color="CC2131" w:themeColor="accent1"/>
          <w:insideH w:val="nil"/>
          <w:insideV w:val="single" w:sz="8" w:space="0" w:color="CC213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insideH w:val="nil"/>
          <w:insideV w:val="single" w:sz="8" w:space="0" w:color="CC213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shd w:val="clear" w:color="auto" w:fill="F5C4C9" w:themeFill="accent1" w:themeFillTint="3F"/>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shd w:val="clear" w:color="auto" w:fill="F5C4C9" w:themeFill="accent1" w:themeFillTint="3F"/>
      </w:tcPr>
    </w:tblStylePr>
    <w:tblStylePr w:type="band2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insideV w:val="single" w:sz="8" w:space="0" w:color="CC2131" w:themeColor="accent1"/>
        </w:tcBorders>
      </w:tcPr>
    </w:tblStylePr>
  </w:style>
  <w:style w:type="table" w:styleId="LightGrid-Accent2">
    <w:name w:val="Light Grid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18" w:space="0" w:color="319EE0" w:themeColor="accent2"/>
          <w:right w:val="single" w:sz="8" w:space="0" w:color="319EE0" w:themeColor="accent2"/>
          <w:insideH w:val="nil"/>
          <w:insideV w:val="single" w:sz="8" w:space="0" w:color="319EE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insideH w:val="nil"/>
          <w:insideV w:val="single" w:sz="8" w:space="0" w:color="319EE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shd w:val="clear" w:color="auto" w:fill="CCE6F7" w:themeFill="accent2" w:themeFillTint="3F"/>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shd w:val="clear" w:color="auto" w:fill="CCE6F7" w:themeFill="accent2" w:themeFillTint="3F"/>
      </w:tcPr>
    </w:tblStylePr>
    <w:tblStylePr w:type="band2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insideV w:val="single" w:sz="8" w:space="0" w:color="319EE0" w:themeColor="accent2"/>
        </w:tcBorders>
      </w:tcPr>
    </w:tblStylePr>
  </w:style>
  <w:style w:type="table" w:styleId="LightGrid-Accent3">
    <w:name w:val="Light Grid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18" w:space="0" w:color="A39A00" w:themeColor="accent3"/>
          <w:right w:val="single" w:sz="8" w:space="0" w:color="A39A00" w:themeColor="accent3"/>
          <w:insideH w:val="nil"/>
          <w:insideV w:val="single" w:sz="8" w:space="0" w:color="A39A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insideH w:val="nil"/>
          <w:insideV w:val="single" w:sz="8" w:space="0" w:color="A39A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shd w:val="clear" w:color="auto" w:fill="FFF9A9" w:themeFill="accent3" w:themeFillTint="3F"/>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shd w:val="clear" w:color="auto" w:fill="FFF9A9" w:themeFill="accent3" w:themeFillTint="3F"/>
      </w:tcPr>
    </w:tblStylePr>
    <w:tblStylePr w:type="band2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insideV w:val="single" w:sz="8" w:space="0" w:color="A39A00" w:themeColor="accent3"/>
        </w:tcBorders>
      </w:tcPr>
    </w:tblStylePr>
  </w:style>
  <w:style w:type="table" w:styleId="LightGrid-Accent4">
    <w:name w:val="Light Grid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18" w:space="0" w:color="DD6F01" w:themeColor="accent4"/>
          <w:right w:val="single" w:sz="8" w:space="0" w:color="DD6F01" w:themeColor="accent4"/>
          <w:insideH w:val="nil"/>
          <w:insideV w:val="single" w:sz="8" w:space="0" w:color="DD6F01"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insideH w:val="nil"/>
          <w:insideV w:val="single" w:sz="8" w:space="0" w:color="DD6F01"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shd w:val="clear" w:color="auto" w:fill="FEDBB7" w:themeFill="accent4" w:themeFillTint="3F"/>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shd w:val="clear" w:color="auto" w:fill="FEDBB7" w:themeFill="accent4" w:themeFillTint="3F"/>
      </w:tcPr>
    </w:tblStylePr>
    <w:tblStylePr w:type="band2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insideV w:val="single" w:sz="8" w:space="0" w:color="DD6F01" w:themeColor="accent4"/>
        </w:tcBorders>
      </w:tcPr>
    </w:tblStylePr>
  </w:style>
  <w:style w:type="table" w:styleId="LightGrid-Accent5">
    <w:name w:val="Light Grid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18" w:space="0" w:color="8F947C" w:themeColor="accent5"/>
          <w:right w:val="single" w:sz="8" w:space="0" w:color="8F947C" w:themeColor="accent5"/>
          <w:insideH w:val="nil"/>
          <w:insideV w:val="single" w:sz="8" w:space="0" w:color="8F947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insideH w:val="nil"/>
          <w:insideV w:val="single" w:sz="8" w:space="0" w:color="8F947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shd w:val="clear" w:color="auto" w:fill="E3E4DE" w:themeFill="accent5" w:themeFillTint="3F"/>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shd w:val="clear" w:color="auto" w:fill="E3E4DE" w:themeFill="accent5" w:themeFillTint="3F"/>
      </w:tcPr>
    </w:tblStylePr>
    <w:tblStylePr w:type="band2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insideV w:val="single" w:sz="8" w:space="0" w:color="8F947C" w:themeColor="accent5"/>
        </w:tcBorders>
      </w:tcPr>
    </w:tblStylePr>
  </w:style>
  <w:style w:type="table" w:styleId="LightGrid-Accent6">
    <w:name w:val="Light Grid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18" w:space="0" w:color="8D3F7C" w:themeColor="accent6"/>
          <w:right w:val="single" w:sz="8" w:space="0" w:color="8D3F7C" w:themeColor="accent6"/>
          <w:insideH w:val="nil"/>
          <w:insideV w:val="single" w:sz="8" w:space="0" w:color="8D3F7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insideH w:val="nil"/>
          <w:insideV w:val="single" w:sz="8" w:space="0" w:color="8D3F7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shd w:val="clear" w:color="auto" w:fill="E7CAE1" w:themeFill="accent6" w:themeFillTint="3F"/>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shd w:val="clear" w:color="auto" w:fill="E7CAE1" w:themeFill="accent6" w:themeFillTint="3F"/>
      </w:tcPr>
    </w:tblStylePr>
    <w:tblStylePr w:type="band2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insideV w:val="single" w:sz="8" w:space="0" w:color="8D3F7C" w:themeColor="accent6"/>
        </w:tcBorders>
      </w:tcPr>
    </w:tblStylePr>
  </w:style>
  <w:style w:type="table" w:customStyle="1" w:styleId="LightList1">
    <w:name w:val="Light List1"/>
    <w:basedOn w:val="TableNormal"/>
    <w:uiPriority w:val="99"/>
    <w:semiHidden/>
    <w:rsid w:val="00C25C71"/>
    <w:pPr>
      <w:spacing w:after="0" w:line="240" w:lineRule="auto"/>
    </w:p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pPr>
        <w:spacing w:before="0" w:after="0" w:line="240" w:lineRule="auto"/>
      </w:pPr>
      <w:rPr>
        <w:b/>
        <w:bCs/>
        <w:color w:val="FFFFFF" w:themeColor="background1"/>
      </w:rPr>
      <w:tblPr/>
      <w:tcPr>
        <w:shd w:val="clear" w:color="auto" w:fill="C0C0C0" w:themeFill="text1"/>
      </w:tcPr>
    </w:tblStylePr>
    <w:tblStylePr w:type="lastRow">
      <w:pPr>
        <w:spacing w:before="0" w:after="0" w:line="240" w:lineRule="auto"/>
      </w:pPr>
      <w:rPr>
        <w:b/>
        <w:bCs/>
      </w:rPr>
      <w:tblPr/>
      <w:tcPr>
        <w:tcBorders>
          <w:top w:val="double" w:sz="6" w:space="0" w:color="C0C0C0" w:themeColor="text1"/>
          <w:left w:val="single" w:sz="8" w:space="0" w:color="C0C0C0" w:themeColor="text1"/>
          <w:bottom w:val="single" w:sz="8" w:space="0" w:color="C0C0C0" w:themeColor="text1"/>
          <w:right w:val="single" w:sz="8" w:space="0" w:color="C0C0C0" w:themeColor="text1"/>
        </w:tcBorders>
      </w:tcPr>
    </w:tblStylePr>
    <w:tblStylePr w:type="firstCol">
      <w:rPr>
        <w:b/>
        <w:bCs/>
      </w:rPr>
    </w:tblStylePr>
    <w:tblStylePr w:type="lastCol">
      <w:rPr>
        <w:b/>
        <w:bCs/>
      </w:rPr>
    </w:tblStylePr>
    <w:tblStylePr w:type="band1Vert">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tblStylePr w:type="band1Horz">
      <w:tblPr/>
      <w:tcPr>
        <w:tcBorders>
          <w:top w:val="single" w:sz="8" w:space="0" w:color="C0C0C0" w:themeColor="text1"/>
          <w:left w:val="single" w:sz="8" w:space="0" w:color="C0C0C0" w:themeColor="text1"/>
          <w:bottom w:val="single" w:sz="8" w:space="0" w:color="C0C0C0" w:themeColor="text1"/>
          <w:right w:val="single" w:sz="8" w:space="0" w:color="C0C0C0" w:themeColor="text1"/>
        </w:tcBorders>
      </w:tcPr>
    </w:tblStylePr>
  </w:style>
  <w:style w:type="table" w:customStyle="1" w:styleId="LightList-Accent11">
    <w:name w:val="Light List - Accent 11"/>
    <w:basedOn w:val="TableNormal"/>
    <w:uiPriority w:val="99"/>
    <w:semiHidden/>
    <w:rsid w:val="00C25C71"/>
    <w:pPr>
      <w:spacing w:after="0" w:line="240" w:lineRule="auto"/>
    </w:p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pPr>
        <w:spacing w:before="0" w:after="0" w:line="240" w:lineRule="auto"/>
      </w:pPr>
      <w:rPr>
        <w:b/>
        <w:bCs/>
        <w:color w:val="FFFFFF" w:themeColor="background1"/>
      </w:rPr>
      <w:tblPr/>
      <w:tcPr>
        <w:shd w:val="clear" w:color="auto" w:fill="CC2131" w:themeFill="accent1"/>
      </w:tcPr>
    </w:tblStylePr>
    <w:tblStylePr w:type="lastRow">
      <w:pPr>
        <w:spacing w:before="0" w:after="0" w:line="240" w:lineRule="auto"/>
      </w:pPr>
      <w:rPr>
        <w:b/>
        <w:bCs/>
      </w:rPr>
      <w:tblPr/>
      <w:tcPr>
        <w:tcBorders>
          <w:top w:val="double" w:sz="6" w:space="0" w:color="CC2131" w:themeColor="accent1"/>
          <w:left w:val="single" w:sz="8" w:space="0" w:color="CC2131" w:themeColor="accent1"/>
          <w:bottom w:val="single" w:sz="8" w:space="0" w:color="CC2131" w:themeColor="accent1"/>
          <w:right w:val="single" w:sz="8" w:space="0" w:color="CC2131" w:themeColor="accent1"/>
        </w:tcBorders>
      </w:tcPr>
    </w:tblStylePr>
    <w:tblStylePr w:type="firstCol">
      <w:rPr>
        <w:b/>
        <w:bCs/>
      </w:rPr>
    </w:tblStylePr>
    <w:tblStylePr w:type="lastCol">
      <w:rPr>
        <w:b/>
        <w:bCs/>
      </w:rPr>
    </w:tblStylePr>
    <w:tblStylePr w:type="band1Vert">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tblStylePr w:type="band1Horz">
      <w:tblPr/>
      <w:tcPr>
        <w:tcBorders>
          <w:top w:val="single" w:sz="8" w:space="0" w:color="CC2131" w:themeColor="accent1"/>
          <w:left w:val="single" w:sz="8" w:space="0" w:color="CC2131" w:themeColor="accent1"/>
          <w:bottom w:val="single" w:sz="8" w:space="0" w:color="CC2131" w:themeColor="accent1"/>
          <w:right w:val="single" w:sz="8" w:space="0" w:color="CC2131" w:themeColor="accent1"/>
        </w:tcBorders>
      </w:tcPr>
    </w:tblStylePr>
  </w:style>
  <w:style w:type="table" w:styleId="LightList-Accent2">
    <w:name w:val="Light List Accent 2"/>
    <w:basedOn w:val="TableNormal"/>
    <w:uiPriority w:val="99"/>
    <w:semiHidden/>
    <w:rsid w:val="00C25C71"/>
    <w:pPr>
      <w:spacing w:after="0" w:line="240" w:lineRule="auto"/>
    </w:p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pPr>
        <w:spacing w:before="0" w:after="0" w:line="240" w:lineRule="auto"/>
      </w:pPr>
      <w:rPr>
        <w:b/>
        <w:bCs/>
        <w:color w:val="FFFFFF" w:themeColor="background1"/>
      </w:rPr>
      <w:tblPr/>
      <w:tcPr>
        <w:shd w:val="clear" w:color="auto" w:fill="319EE0" w:themeFill="accent2"/>
      </w:tcPr>
    </w:tblStylePr>
    <w:tblStylePr w:type="lastRow">
      <w:pPr>
        <w:spacing w:before="0" w:after="0" w:line="240" w:lineRule="auto"/>
      </w:pPr>
      <w:rPr>
        <w:b/>
        <w:bCs/>
      </w:rPr>
      <w:tblPr/>
      <w:tcPr>
        <w:tcBorders>
          <w:top w:val="double" w:sz="6" w:space="0" w:color="319EE0" w:themeColor="accent2"/>
          <w:left w:val="single" w:sz="8" w:space="0" w:color="319EE0" w:themeColor="accent2"/>
          <w:bottom w:val="single" w:sz="8" w:space="0" w:color="319EE0" w:themeColor="accent2"/>
          <w:right w:val="single" w:sz="8" w:space="0" w:color="319EE0" w:themeColor="accent2"/>
        </w:tcBorders>
      </w:tcPr>
    </w:tblStylePr>
    <w:tblStylePr w:type="firstCol">
      <w:rPr>
        <w:b/>
        <w:bCs/>
      </w:rPr>
    </w:tblStylePr>
    <w:tblStylePr w:type="lastCol">
      <w:rPr>
        <w:b/>
        <w:bCs/>
      </w:rPr>
    </w:tblStylePr>
    <w:tblStylePr w:type="band1Vert">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tblStylePr w:type="band1Horz">
      <w:tblPr/>
      <w:tcPr>
        <w:tcBorders>
          <w:top w:val="single" w:sz="8" w:space="0" w:color="319EE0" w:themeColor="accent2"/>
          <w:left w:val="single" w:sz="8" w:space="0" w:color="319EE0" w:themeColor="accent2"/>
          <w:bottom w:val="single" w:sz="8" w:space="0" w:color="319EE0" w:themeColor="accent2"/>
          <w:right w:val="single" w:sz="8" w:space="0" w:color="319EE0" w:themeColor="accent2"/>
        </w:tcBorders>
      </w:tcPr>
    </w:tblStylePr>
  </w:style>
  <w:style w:type="table" w:styleId="LightList-Accent3">
    <w:name w:val="Light List Accent 3"/>
    <w:basedOn w:val="TableNormal"/>
    <w:uiPriority w:val="99"/>
    <w:semiHidden/>
    <w:rsid w:val="00C25C71"/>
    <w:pPr>
      <w:spacing w:after="0" w:line="240" w:lineRule="auto"/>
    </w:p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pPr>
        <w:spacing w:before="0" w:after="0" w:line="240" w:lineRule="auto"/>
      </w:pPr>
      <w:rPr>
        <w:b/>
        <w:bCs/>
        <w:color w:val="FFFFFF" w:themeColor="background1"/>
      </w:rPr>
      <w:tblPr/>
      <w:tcPr>
        <w:shd w:val="clear" w:color="auto" w:fill="A39A00" w:themeFill="accent3"/>
      </w:tcPr>
    </w:tblStylePr>
    <w:tblStylePr w:type="lastRow">
      <w:pPr>
        <w:spacing w:before="0" w:after="0" w:line="240" w:lineRule="auto"/>
      </w:pPr>
      <w:rPr>
        <w:b/>
        <w:bCs/>
      </w:rPr>
      <w:tblPr/>
      <w:tcPr>
        <w:tcBorders>
          <w:top w:val="double" w:sz="6" w:space="0" w:color="A39A00" w:themeColor="accent3"/>
          <w:left w:val="single" w:sz="8" w:space="0" w:color="A39A00" w:themeColor="accent3"/>
          <w:bottom w:val="single" w:sz="8" w:space="0" w:color="A39A00" w:themeColor="accent3"/>
          <w:right w:val="single" w:sz="8" w:space="0" w:color="A39A00" w:themeColor="accent3"/>
        </w:tcBorders>
      </w:tcPr>
    </w:tblStylePr>
    <w:tblStylePr w:type="firstCol">
      <w:rPr>
        <w:b/>
        <w:bCs/>
      </w:rPr>
    </w:tblStylePr>
    <w:tblStylePr w:type="lastCol">
      <w:rPr>
        <w:b/>
        <w:bCs/>
      </w:rPr>
    </w:tblStylePr>
    <w:tblStylePr w:type="band1Vert">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tblStylePr w:type="band1Horz">
      <w:tblPr/>
      <w:tcPr>
        <w:tcBorders>
          <w:top w:val="single" w:sz="8" w:space="0" w:color="A39A00" w:themeColor="accent3"/>
          <w:left w:val="single" w:sz="8" w:space="0" w:color="A39A00" w:themeColor="accent3"/>
          <w:bottom w:val="single" w:sz="8" w:space="0" w:color="A39A00" w:themeColor="accent3"/>
          <w:right w:val="single" w:sz="8" w:space="0" w:color="A39A00" w:themeColor="accent3"/>
        </w:tcBorders>
      </w:tcPr>
    </w:tblStylePr>
  </w:style>
  <w:style w:type="table" w:styleId="LightList-Accent4">
    <w:name w:val="Light List Accent 4"/>
    <w:basedOn w:val="TableNormal"/>
    <w:uiPriority w:val="99"/>
    <w:semiHidden/>
    <w:rsid w:val="00C25C71"/>
    <w:pPr>
      <w:spacing w:after="0" w:line="240" w:lineRule="auto"/>
    </w:p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pPr>
        <w:spacing w:before="0" w:after="0" w:line="240" w:lineRule="auto"/>
      </w:pPr>
      <w:rPr>
        <w:b/>
        <w:bCs/>
        <w:color w:val="FFFFFF" w:themeColor="background1"/>
      </w:rPr>
      <w:tblPr/>
      <w:tcPr>
        <w:shd w:val="clear" w:color="auto" w:fill="DD6F01" w:themeFill="accent4"/>
      </w:tcPr>
    </w:tblStylePr>
    <w:tblStylePr w:type="lastRow">
      <w:pPr>
        <w:spacing w:before="0" w:after="0" w:line="240" w:lineRule="auto"/>
      </w:pPr>
      <w:rPr>
        <w:b/>
        <w:bCs/>
      </w:rPr>
      <w:tblPr/>
      <w:tcPr>
        <w:tcBorders>
          <w:top w:val="double" w:sz="6" w:space="0" w:color="DD6F01" w:themeColor="accent4"/>
          <w:left w:val="single" w:sz="8" w:space="0" w:color="DD6F01" w:themeColor="accent4"/>
          <w:bottom w:val="single" w:sz="8" w:space="0" w:color="DD6F01" w:themeColor="accent4"/>
          <w:right w:val="single" w:sz="8" w:space="0" w:color="DD6F01" w:themeColor="accent4"/>
        </w:tcBorders>
      </w:tcPr>
    </w:tblStylePr>
    <w:tblStylePr w:type="firstCol">
      <w:rPr>
        <w:b/>
        <w:bCs/>
      </w:rPr>
    </w:tblStylePr>
    <w:tblStylePr w:type="lastCol">
      <w:rPr>
        <w:b/>
        <w:bCs/>
      </w:rPr>
    </w:tblStylePr>
    <w:tblStylePr w:type="band1Vert">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tblStylePr w:type="band1Horz">
      <w:tblPr/>
      <w:tcPr>
        <w:tcBorders>
          <w:top w:val="single" w:sz="8" w:space="0" w:color="DD6F01" w:themeColor="accent4"/>
          <w:left w:val="single" w:sz="8" w:space="0" w:color="DD6F01" w:themeColor="accent4"/>
          <w:bottom w:val="single" w:sz="8" w:space="0" w:color="DD6F01" w:themeColor="accent4"/>
          <w:right w:val="single" w:sz="8" w:space="0" w:color="DD6F01" w:themeColor="accent4"/>
        </w:tcBorders>
      </w:tcPr>
    </w:tblStylePr>
  </w:style>
  <w:style w:type="table" w:styleId="LightList-Accent5">
    <w:name w:val="Light List Accent 5"/>
    <w:basedOn w:val="TableNormal"/>
    <w:uiPriority w:val="99"/>
    <w:semiHidden/>
    <w:rsid w:val="00C25C71"/>
    <w:pPr>
      <w:spacing w:after="0" w:line="240" w:lineRule="auto"/>
    </w:p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pPr>
        <w:spacing w:before="0" w:after="0" w:line="240" w:lineRule="auto"/>
      </w:pPr>
      <w:rPr>
        <w:b/>
        <w:bCs/>
        <w:color w:val="FFFFFF" w:themeColor="background1"/>
      </w:rPr>
      <w:tblPr/>
      <w:tcPr>
        <w:shd w:val="clear" w:color="auto" w:fill="8F947C" w:themeFill="accent5"/>
      </w:tcPr>
    </w:tblStylePr>
    <w:tblStylePr w:type="lastRow">
      <w:pPr>
        <w:spacing w:before="0" w:after="0" w:line="240" w:lineRule="auto"/>
      </w:pPr>
      <w:rPr>
        <w:b/>
        <w:bCs/>
      </w:rPr>
      <w:tblPr/>
      <w:tcPr>
        <w:tcBorders>
          <w:top w:val="double" w:sz="6" w:space="0" w:color="8F947C" w:themeColor="accent5"/>
          <w:left w:val="single" w:sz="8" w:space="0" w:color="8F947C" w:themeColor="accent5"/>
          <w:bottom w:val="single" w:sz="8" w:space="0" w:color="8F947C" w:themeColor="accent5"/>
          <w:right w:val="single" w:sz="8" w:space="0" w:color="8F947C" w:themeColor="accent5"/>
        </w:tcBorders>
      </w:tcPr>
    </w:tblStylePr>
    <w:tblStylePr w:type="firstCol">
      <w:rPr>
        <w:b/>
        <w:bCs/>
      </w:rPr>
    </w:tblStylePr>
    <w:tblStylePr w:type="lastCol">
      <w:rPr>
        <w:b/>
        <w:bCs/>
      </w:rPr>
    </w:tblStylePr>
    <w:tblStylePr w:type="band1Vert">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tblStylePr w:type="band1Horz">
      <w:tblPr/>
      <w:tcPr>
        <w:tcBorders>
          <w:top w:val="single" w:sz="8" w:space="0" w:color="8F947C" w:themeColor="accent5"/>
          <w:left w:val="single" w:sz="8" w:space="0" w:color="8F947C" w:themeColor="accent5"/>
          <w:bottom w:val="single" w:sz="8" w:space="0" w:color="8F947C" w:themeColor="accent5"/>
          <w:right w:val="single" w:sz="8" w:space="0" w:color="8F947C" w:themeColor="accent5"/>
        </w:tcBorders>
      </w:tcPr>
    </w:tblStylePr>
  </w:style>
  <w:style w:type="table" w:styleId="LightList-Accent6">
    <w:name w:val="Light List Accent 6"/>
    <w:basedOn w:val="TableNormal"/>
    <w:uiPriority w:val="99"/>
    <w:semiHidden/>
    <w:rsid w:val="00C25C71"/>
    <w:pPr>
      <w:spacing w:after="0" w:line="240" w:lineRule="auto"/>
    </w:p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pPr>
        <w:spacing w:before="0" w:after="0" w:line="240" w:lineRule="auto"/>
      </w:pPr>
      <w:rPr>
        <w:b/>
        <w:bCs/>
        <w:color w:val="FFFFFF" w:themeColor="background1"/>
      </w:rPr>
      <w:tblPr/>
      <w:tcPr>
        <w:shd w:val="clear" w:color="auto" w:fill="8D3F7C" w:themeFill="accent6"/>
      </w:tcPr>
    </w:tblStylePr>
    <w:tblStylePr w:type="lastRow">
      <w:pPr>
        <w:spacing w:before="0" w:after="0" w:line="240" w:lineRule="auto"/>
      </w:pPr>
      <w:rPr>
        <w:b/>
        <w:bCs/>
      </w:rPr>
      <w:tblPr/>
      <w:tcPr>
        <w:tcBorders>
          <w:top w:val="double" w:sz="6" w:space="0" w:color="8D3F7C" w:themeColor="accent6"/>
          <w:left w:val="single" w:sz="8" w:space="0" w:color="8D3F7C" w:themeColor="accent6"/>
          <w:bottom w:val="single" w:sz="8" w:space="0" w:color="8D3F7C" w:themeColor="accent6"/>
          <w:right w:val="single" w:sz="8" w:space="0" w:color="8D3F7C" w:themeColor="accent6"/>
        </w:tcBorders>
      </w:tcPr>
    </w:tblStylePr>
    <w:tblStylePr w:type="firstCol">
      <w:rPr>
        <w:b/>
        <w:bCs/>
      </w:rPr>
    </w:tblStylePr>
    <w:tblStylePr w:type="lastCol">
      <w:rPr>
        <w:b/>
        <w:bCs/>
      </w:rPr>
    </w:tblStylePr>
    <w:tblStylePr w:type="band1Vert">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tblStylePr w:type="band1Horz">
      <w:tblPr/>
      <w:tcPr>
        <w:tcBorders>
          <w:top w:val="single" w:sz="8" w:space="0" w:color="8D3F7C" w:themeColor="accent6"/>
          <w:left w:val="single" w:sz="8" w:space="0" w:color="8D3F7C" w:themeColor="accent6"/>
          <w:bottom w:val="single" w:sz="8" w:space="0" w:color="8D3F7C" w:themeColor="accent6"/>
          <w:right w:val="single" w:sz="8" w:space="0" w:color="8D3F7C" w:themeColor="accent6"/>
        </w:tcBorders>
      </w:tcPr>
    </w:tblStylePr>
  </w:style>
  <w:style w:type="table" w:customStyle="1" w:styleId="LightShading1">
    <w:name w:val="Light Shading1"/>
    <w:basedOn w:val="TableNormal"/>
    <w:uiPriority w:val="99"/>
    <w:semiHidden/>
    <w:rsid w:val="00C25C71"/>
    <w:pPr>
      <w:spacing w:after="0" w:line="240" w:lineRule="auto"/>
    </w:pPr>
    <w:rPr>
      <w:color w:val="8F8F8F" w:themeColor="text1" w:themeShade="BF"/>
    </w:rPr>
    <w:tblPr>
      <w:tblStyleRowBandSize w:val="1"/>
      <w:tblStyleColBandSize w:val="1"/>
      <w:tblBorders>
        <w:top w:val="single" w:sz="8" w:space="0" w:color="C0C0C0" w:themeColor="text1"/>
        <w:bottom w:val="single" w:sz="8" w:space="0" w:color="C0C0C0" w:themeColor="text1"/>
      </w:tblBorders>
    </w:tblPr>
    <w:tblStylePr w:type="fir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lastRow">
      <w:pPr>
        <w:spacing w:before="0" w:after="0" w:line="240" w:lineRule="auto"/>
      </w:pPr>
      <w:rPr>
        <w:b/>
        <w:bCs/>
      </w:rPr>
      <w:tblPr/>
      <w:tcPr>
        <w:tcBorders>
          <w:top w:val="single" w:sz="8" w:space="0" w:color="C0C0C0" w:themeColor="text1"/>
          <w:left w:val="nil"/>
          <w:bottom w:val="single" w:sz="8" w:space="0" w:color="C0C0C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left w:val="nil"/>
          <w:right w:val="nil"/>
          <w:insideH w:val="nil"/>
          <w:insideV w:val="nil"/>
        </w:tcBorders>
        <w:shd w:val="clear" w:color="auto" w:fill="EFEFEF" w:themeFill="text1" w:themeFillTint="3F"/>
      </w:tcPr>
    </w:tblStylePr>
  </w:style>
  <w:style w:type="table" w:customStyle="1" w:styleId="LightShading-Accent11">
    <w:name w:val="Light Shading - Accent 11"/>
    <w:basedOn w:val="TableNormal"/>
    <w:uiPriority w:val="99"/>
    <w:semiHidden/>
    <w:rsid w:val="00C25C71"/>
    <w:pPr>
      <w:spacing w:after="0" w:line="240" w:lineRule="auto"/>
    </w:pPr>
    <w:rPr>
      <w:color w:val="981824" w:themeColor="accent1" w:themeShade="BF"/>
    </w:rPr>
    <w:tblPr>
      <w:tblStyleRowBandSize w:val="1"/>
      <w:tblStyleColBandSize w:val="1"/>
      <w:tblBorders>
        <w:top w:val="single" w:sz="8" w:space="0" w:color="CC2131" w:themeColor="accent1"/>
        <w:bottom w:val="single" w:sz="8" w:space="0" w:color="CC2131" w:themeColor="accent1"/>
      </w:tblBorders>
    </w:tblPr>
    <w:tblStylePr w:type="fir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lastRow">
      <w:pPr>
        <w:spacing w:before="0" w:after="0" w:line="240" w:lineRule="auto"/>
      </w:pPr>
      <w:rPr>
        <w:b/>
        <w:bCs/>
      </w:rPr>
      <w:tblPr/>
      <w:tcPr>
        <w:tcBorders>
          <w:top w:val="single" w:sz="8" w:space="0" w:color="CC2131" w:themeColor="accent1"/>
          <w:left w:val="nil"/>
          <w:bottom w:val="single" w:sz="8" w:space="0" w:color="CC213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left w:val="nil"/>
          <w:right w:val="nil"/>
          <w:insideH w:val="nil"/>
          <w:insideV w:val="nil"/>
        </w:tcBorders>
        <w:shd w:val="clear" w:color="auto" w:fill="F5C4C9" w:themeFill="accent1" w:themeFillTint="3F"/>
      </w:tcPr>
    </w:tblStylePr>
  </w:style>
  <w:style w:type="table" w:styleId="LightShading-Accent2">
    <w:name w:val="Light Shading Accent 2"/>
    <w:basedOn w:val="TableNormal"/>
    <w:uiPriority w:val="99"/>
    <w:semiHidden/>
    <w:rsid w:val="00C25C71"/>
    <w:pPr>
      <w:spacing w:after="0" w:line="240" w:lineRule="auto"/>
    </w:pPr>
    <w:rPr>
      <w:color w:val="1A78B1" w:themeColor="accent2" w:themeShade="BF"/>
    </w:rPr>
    <w:tblPr>
      <w:tblStyleRowBandSize w:val="1"/>
      <w:tblStyleColBandSize w:val="1"/>
      <w:tblBorders>
        <w:top w:val="single" w:sz="8" w:space="0" w:color="319EE0" w:themeColor="accent2"/>
        <w:bottom w:val="single" w:sz="8" w:space="0" w:color="319EE0" w:themeColor="accent2"/>
      </w:tblBorders>
    </w:tblPr>
    <w:tblStylePr w:type="fir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lastRow">
      <w:pPr>
        <w:spacing w:before="0" w:after="0" w:line="240" w:lineRule="auto"/>
      </w:pPr>
      <w:rPr>
        <w:b/>
        <w:bCs/>
      </w:rPr>
      <w:tblPr/>
      <w:tcPr>
        <w:tcBorders>
          <w:top w:val="single" w:sz="8" w:space="0" w:color="319EE0" w:themeColor="accent2"/>
          <w:left w:val="nil"/>
          <w:bottom w:val="single" w:sz="8" w:space="0" w:color="319EE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left w:val="nil"/>
          <w:right w:val="nil"/>
          <w:insideH w:val="nil"/>
          <w:insideV w:val="nil"/>
        </w:tcBorders>
        <w:shd w:val="clear" w:color="auto" w:fill="CCE6F7" w:themeFill="accent2" w:themeFillTint="3F"/>
      </w:tcPr>
    </w:tblStylePr>
  </w:style>
  <w:style w:type="table" w:styleId="LightShading-Accent3">
    <w:name w:val="Light Shading Accent 3"/>
    <w:basedOn w:val="TableNormal"/>
    <w:uiPriority w:val="99"/>
    <w:semiHidden/>
    <w:rsid w:val="00C25C71"/>
    <w:pPr>
      <w:spacing w:after="0" w:line="240" w:lineRule="auto"/>
    </w:pPr>
    <w:rPr>
      <w:color w:val="7A7200" w:themeColor="accent3" w:themeShade="BF"/>
    </w:rPr>
    <w:tblPr>
      <w:tblStyleRowBandSize w:val="1"/>
      <w:tblStyleColBandSize w:val="1"/>
      <w:tblBorders>
        <w:top w:val="single" w:sz="8" w:space="0" w:color="A39A00" w:themeColor="accent3"/>
        <w:bottom w:val="single" w:sz="8" w:space="0" w:color="A39A00" w:themeColor="accent3"/>
      </w:tblBorders>
    </w:tblPr>
    <w:tblStylePr w:type="fir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lastRow">
      <w:pPr>
        <w:spacing w:before="0" w:after="0" w:line="240" w:lineRule="auto"/>
      </w:pPr>
      <w:rPr>
        <w:b/>
        <w:bCs/>
      </w:rPr>
      <w:tblPr/>
      <w:tcPr>
        <w:tcBorders>
          <w:top w:val="single" w:sz="8" w:space="0" w:color="A39A00" w:themeColor="accent3"/>
          <w:left w:val="nil"/>
          <w:bottom w:val="single" w:sz="8" w:space="0" w:color="A39A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left w:val="nil"/>
          <w:right w:val="nil"/>
          <w:insideH w:val="nil"/>
          <w:insideV w:val="nil"/>
        </w:tcBorders>
        <w:shd w:val="clear" w:color="auto" w:fill="FFF9A9" w:themeFill="accent3" w:themeFillTint="3F"/>
      </w:tcPr>
    </w:tblStylePr>
  </w:style>
  <w:style w:type="table" w:styleId="LightShading-Accent4">
    <w:name w:val="Light Shading Accent 4"/>
    <w:basedOn w:val="TableNormal"/>
    <w:uiPriority w:val="99"/>
    <w:semiHidden/>
    <w:rsid w:val="00C25C71"/>
    <w:pPr>
      <w:spacing w:after="0" w:line="240" w:lineRule="auto"/>
    </w:pPr>
    <w:rPr>
      <w:color w:val="A55200" w:themeColor="accent4" w:themeShade="BF"/>
    </w:rPr>
    <w:tblPr>
      <w:tblStyleRowBandSize w:val="1"/>
      <w:tblStyleColBandSize w:val="1"/>
      <w:tblBorders>
        <w:top w:val="single" w:sz="8" w:space="0" w:color="DD6F01" w:themeColor="accent4"/>
        <w:bottom w:val="single" w:sz="8" w:space="0" w:color="DD6F01" w:themeColor="accent4"/>
      </w:tblBorders>
    </w:tblPr>
    <w:tblStylePr w:type="fir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lastRow">
      <w:pPr>
        <w:spacing w:before="0" w:after="0" w:line="240" w:lineRule="auto"/>
      </w:pPr>
      <w:rPr>
        <w:b/>
        <w:bCs/>
      </w:rPr>
      <w:tblPr/>
      <w:tcPr>
        <w:tcBorders>
          <w:top w:val="single" w:sz="8" w:space="0" w:color="DD6F01" w:themeColor="accent4"/>
          <w:left w:val="nil"/>
          <w:bottom w:val="single" w:sz="8" w:space="0" w:color="DD6F01"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left w:val="nil"/>
          <w:right w:val="nil"/>
          <w:insideH w:val="nil"/>
          <w:insideV w:val="nil"/>
        </w:tcBorders>
        <w:shd w:val="clear" w:color="auto" w:fill="FEDBB7" w:themeFill="accent4" w:themeFillTint="3F"/>
      </w:tcPr>
    </w:tblStylePr>
  </w:style>
  <w:style w:type="table" w:styleId="LightShading-Accent5">
    <w:name w:val="Light Shading Accent 5"/>
    <w:basedOn w:val="TableNormal"/>
    <w:uiPriority w:val="99"/>
    <w:semiHidden/>
    <w:rsid w:val="00C25C71"/>
    <w:pPr>
      <w:spacing w:after="0" w:line="240" w:lineRule="auto"/>
    </w:pPr>
    <w:rPr>
      <w:color w:val="6B705B" w:themeColor="accent5" w:themeShade="BF"/>
    </w:rPr>
    <w:tblPr>
      <w:tblStyleRowBandSize w:val="1"/>
      <w:tblStyleColBandSize w:val="1"/>
      <w:tblBorders>
        <w:top w:val="single" w:sz="8" w:space="0" w:color="8F947C" w:themeColor="accent5"/>
        <w:bottom w:val="single" w:sz="8" w:space="0" w:color="8F947C" w:themeColor="accent5"/>
      </w:tblBorders>
    </w:tblPr>
    <w:tblStylePr w:type="fir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lastRow">
      <w:pPr>
        <w:spacing w:before="0" w:after="0" w:line="240" w:lineRule="auto"/>
      </w:pPr>
      <w:rPr>
        <w:b/>
        <w:bCs/>
      </w:rPr>
      <w:tblPr/>
      <w:tcPr>
        <w:tcBorders>
          <w:top w:val="single" w:sz="8" w:space="0" w:color="8F947C" w:themeColor="accent5"/>
          <w:left w:val="nil"/>
          <w:bottom w:val="single" w:sz="8" w:space="0" w:color="8F947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left w:val="nil"/>
          <w:right w:val="nil"/>
          <w:insideH w:val="nil"/>
          <w:insideV w:val="nil"/>
        </w:tcBorders>
        <w:shd w:val="clear" w:color="auto" w:fill="E3E4DE" w:themeFill="accent5" w:themeFillTint="3F"/>
      </w:tcPr>
    </w:tblStylePr>
  </w:style>
  <w:style w:type="table" w:styleId="LightShading-Accent6">
    <w:name w:val="Light Shading Accent 6"/>
    <w:basedOn w:val="TableNormal"/>
    <w:uiPriority w:val="99"/>
    <w:semiHidden/>
    <w:rsid w:val="00C25C71"/>
    <w:pPr>
      <w:spacing w:after="0" w:line="240" w:lineRule="auto"/>
    </w:pPr>
    <w:rPr>
      <w:color w:val="692F5C" w:themeColor="accent6" w:themeShade="BF"/>
    </w:rPr>
    <w:tblPr>
      <w:tblStyleRowBandSize w:val="1"/>
      <w:tblStyleColBandSize w:val="1"/>
      <w:tblBorders>
        <w:top w:val="single" w:sz="8" w:space="0" w:color="8D3F7C" w:themeColor="accent6"/>
        <w:bottom w:val="single" w:sz="8" w:space="0" w:color="8D3F7C" w:themeColor="accent6"/>
      </w:tblBorders>
    </w:tblPr>
    <w:tblStylePr w:type="fir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lastRow">
      <w:pPr>
        <w:spacing w:before="0" w:after="0" w:line="240" w:lineRule="auto"/>
      </w:pPr>
      <w:rPr>
        <w:b/>
        <w:bCs/>
      </w:rPr>
      <w:tblPr/>
      <w:tcPr>
        <w:tcBorders>
          <w:top w:val="single" w:sz="8" w:space="0" w:color="8D3F7C" w:themeColor="accent6"/>
          <w:left w:val="nil"/>
          <w:bottom w:val="single" w:sz="8" w:space="0" w:color="8D3F7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left w:val="nil"/>
          <w:right w:val="nil"/>
          <w:insideH w:val="nil"/>
          <w:insideV w:val="nil"/>
        </w:tcBorders>
        <w:shd w:val="clear" w:color="auto" w:fill="E7CAE1" w:themeFill="accent6" w:themeFillTint="3F"/>
      </w:tcPr>
    </w:tblStylePr>
  </w:style>
  <w:style w:type="table" w:customStyle="1" w:styleId="MediumGrid11">
    <w:name w:val="Medium Grid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insideV w:val="single" w:sz="8" w:space="0" w:color="CFCFCF" w:themeColor="text1" w:themeTint="BF"/>
      </w:tblBorders>
    </w:tblPr>
    <w:tcPr>
      <w:shd w:val="clear" w:color="auto" w:fill="EFEFEF" w:themeFill="text1" w:themeFillTint="3F"/>
    </w:tcPr>
    <w:tblStylePr w:type="firstRow">
      <w:rPr>
        <w:b/>
        <w:bCs/>
      </w:rPr>
    </w:tblStylePr>
    <w:tblStylePr w:type="lastRow">
      <w:rPr>
        <w:b/>
        <w:bCs/>
      </w:rPr>
      <w:tblPr/>
      <w:tcPr>
        <w:tcBorders>
          <w:top w:val="single" w:sz="18" w:space="0" w:color="CFCFCF" w:themeColor="text1" w:themeTint="BF"/>
        </w:tcBorders>
      </w:tcPr>
    </w:tblStylePr>
    <w:tblStylePr w:type="firstCol">
      <w:rPr>
        <w:b/>
        <w:bCs/>
      </w:rPr>
    </w:tblStylePr>
    <w:tblStylePr w:type="lastCol">
      <w:rPr>
        <w:b/>
        <w:bCs/>
      </w:rPr>
    </w:tblStylePr>
    <w:tblStylePr w:type="band1Vert">
      <w:tblPr/>
      <w:tcPr>
        <w:shd w:val="clear" w:color="auto" w:fill="DFDFDF" w:themeFill="text1" w:themeFillTint="7F"/>
      </w:tcPr>
    </w:tblStylePr>
    <w:tblStylePr w:type="band1Horz">
      <w:tblPr/>
      <w:tcPr>
        <w:shd w:val="clear" w:color="auto" w:fill="DFDFDF" w:themeFill="text1" w:themeFillTint="7F"/>
      </w:tcPr>
    </w:tblStylePr>
  </w:style>
  <w:style w:type="table" w:styleId="MediumGrid1-Accent1">
    <w:name w:val="Medium Grid 1 Accent 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insideV w:val="single" w:sz="8" w:space="0" w:color="E24E5C" w:themeColor="accent1" w:themeTint="BF"/>
      </w:tblBorders>
    </w:tblPr>
    <w:tcPr>
      <w:shd w:val="clear" w:color="auto" w:fill="F5C4C9" w:themeFill="accent1" w:themeFillTint="3F"/>
    </w:tcPr>
    <w:tblStylePr w:type="firstRow">
      <w:rPr>
        <w:b/>
        <w:bCs/>
      </w:rPr>
    </w:tblStylePr>
    <w:tblStylePr w:type="lastRow">
      <w:rPr>
        <w:b/>
        <w:bCs/>
      </w:rPr>
      <w:tblPr/>
      <w:tcPr>
        <w:tcBorders>
          <w:top w:val="single" w:sz="18" w:space="0" w:color="E24E5C" w:themeColor="accent1" w:themeTint="BF"/>
        </w:tcBorders>
      </w:tcPr>
    </w:tblStylePr>
    <w:tblStylePr w:type="firstCol">
      <w:rPr>
        <w:b/>
        <w:bCs/>
      </w:rPr>
    </w:tblStylePr>
    <w:tblStylePr w:type="lastCol">
      <w:rPr>
        <w:b/>
        <w:bCs/>
      </w:rPr>
    </w:tblStylePr>
    <w:tblStylePr w:type="band1Vert">
      <w:tblPr/>
      <w:tcPr>
        <w:shd w:val="clear" w:color="auto" w:fill="EC8992" w:themeFill="accent1" w:themeFillTint="7F"/>
      </w:tcPr>
    </w:tblStylePr>
    <w:tblStylePr w:type="band1Horz">
      <w:tblPr/>
      <w:tcPr>
        <w:shd w:val="clear" w:color="auto" w:fill="EC8992" w:themeFill="accent1" w:themeFillTint="7F"/>
      </w:tcPr>
    </w:tblStylePr>
  </w:style>
  <w:style w:type="table" w:styleId="MediumGrid1-Accent2">
    <w:name w:val="Medium Grid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insideV w:val="single" w:sz="8" w:space="0" w:color="64B5E7" w:themeColor="accent2" w:themeTint="BF"/>
      </w:tblBorders>
    </w:tblPr>
    <w:tcPr>
      <w:shd w:val="clear" w:color="auto" w:fill="CCE6F7" w:themeFill="accent2" w:themeFillTint="3F"/>
    </w:tcPr>
    <w:tblStylePr w:type="firstRow">
      <w:rPr>
        <w:b/>
        <w:bCs/>
      </w:rPr>
    </w:tblStylePr>
    <w:tblStylePr w:type="lastRow">
      <w:rPr>
        <w:b/>
        <w:bCs/>
      </w:rPr>
      <w:tblPr/>
      <w:tcPr>
        <w:tcBorders>
          <w:top w:val="single" w:sz="18" w:space="0" w:color="64B5E7" w:themeColor="accent2" w:themeTint="BF"/>
        </w:tcBorders>
      </w:tcPr>
    </w:tblStylePr>
    <w:tblStylePr w:type="firstCol">
      <w:rPr>
        <w:b/>
        <w:bCs/>
      </w:rPr>
    </w:tblStylePr>
    <w:tblStylePr w:type="lastCol">
      <w:rPr>
        <w:b/>
        <w:bCs/>
      </w:rPr>
    </w:tblStylePr>
    <w:tblStylePr w:type="band1Vert">
      <w:tblPr/>
      <w:tcPr>
        <w:shd w:val="clear" w:color="auto" w:fill="98CEEF" w:themeFill="accent2" w:themeFillTint="7F"/>
      </w:tcPr>
    </w:tblStylePr>
    <w:tblStylePr w:type="band1Horz">
      <w:tblPr/>
      <w:tcPr>
        <w:shd w:val="clear" w:color="auto" w:fill="98CEEF" w:themeFill="accent2" w:themeFillTint="7F"/>
      </w:tcPr>
    </w:tblStylePr>
  </w:style>
  <w:style w:type="table" w:styleId="MediumGrid1-Accent3">
    <w:name w:val="Medium Grid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insideV w:val="single" w:sz="8" w:space="0" w:color="FAEB00" w:themeColor="accent3" w:themeTint="BF"/>
      </w:tblBorders>
    </w:tblPr>
    <w:tcPr>
      <w:shd w:val="clear" w:color="auto" w:fill="FFF9A9" w:themeFill="accent3" w:themeFillTint="3F"/>
    </w:tcPr>
    <w:tblStylePr w:type="firstRow">
      <w:rPr>
        <w:b/>
        <w:bCs/>
      </w:rPr>
    </w:tblStylePr>
    <w:tblStylePr w:type="lastRow">
      <w:rPr>
        <w:b/>
        <w:bCs/>
      </w:rPr>
      <w:tblPr/>
      <w:tcPr>
        <w:tcBorders>
          <w:top w:val="single" w:sz="18" w:space="0" w:color="FAEB00" w:themeColor="accent3" w:themeTint="BF"/>
        </w:tcBorders>
      </w:tcPr>
    </w:tblStylePr>
    <w:tblStylePr w:type="firstCol">
      <w:rPr>
        <w:b/>
        <w:bCs/>
      </w:rPr>
    </w:tblStylePr>
    <w:tblStylePr w:type="lastCol">
      <w:rPr>
        <w:b/>
        <w:bCs/>
      </w:rPr>
    </w:tblStylePr>
    <w:tblStylePr w:type="band1Vert">
      <w:tblPr/>
      <w:tcPr>
        <w:shd w:val="clear" w:color="auto" w:fill="FFF452" w:themeFill="accent3" w:themeFillTint="7F"/>
      </w:tcPr>
    </w:tblStylePr>
    <w:tblStylePr w:type="band1Horz">
      <w:tblPr/>
      <w:tcPr>
        <w:shd w:val="clear" w:color="auto" w:fill="FFF452" w:themeFill="accent3" w:themeFillTint="7F"/>
      </w:tcPr>
    </w:tblStylePr>
  </w:style>
  <w:style w:type="table" w:styleId="MediumGrid1-Accent4">
    <w:name w:val="Medium Grid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insideV w:val="single" w:sz="8" w:space="0" w:color="FE9227" w:themeColor="accent4" w:themeTint="BF"/>
      </w:tblBorders>
    </w:tblPr>
    <w:tcPr>
      <w:shd w:val="clear" w:color="auto" w:fill="FEDBB7" w:themeFill="accent4" w:themeFillTint="3F"/>
    </w:tcPr>
    <w:tblStylePr w:type="firstRow">
      <w:rPr>
        <w:b/>
        <w:bCs/>
      </w:rPr>
    </w:tblStylePr>
    <w:tblStylePr w:type="lastRow">
      <w:rPr>
        <w:b/>
        <w:bCs/>
      </w:rPr>
      <w:tblPr/>
      <w:tcPr>
        <w:tcBorders>
          <w:top w:val="single" w:sz="18" w:space="0" w:color="FE9227" w:themeColor="accent4" w:themeTint="BF"/>
        </w:tcBorders>
      </w:tcPr>
    </w:tblStylePr>
    <w:tblStylePr w:type="firstCol">
      <w:rPr>
        <w:b/>
        <w:bCs/>
      </w:rPr>
    </w:tblStylePr>
    <w:tblStylePr w:type="lastCol">
      <w:rPr>
        <w:b/>
        <w:bCs/>
      </w:rPr>
    </w:tblStylePr>
    <w:tblStylePr w:type="band1Vert">
      <w:tblPr/>
      <w:tcPr>
        <w:shd w:val="clear" w:color="auto" w:fill="FEB66F" w:themeFill="accent4" w:themeFillTint="7F"/>
      </w:tcPr>
    </w:tblStylePr>
    <w:tblStylePr w:type="band1Horz">
      <w:tblPr/>
      <w:tcPr>
        <w:shd w:val="clear" w:color="auto" w:fill="FEB66F" w:themeFill="accent4" w:themeFillTint="7F"/>
      </w:tcPr>
    </w:tblStylePr>
  </w:style>
  <w:style w:type="table" w:styleId="MediumGrid1-Accent5">
    <w:name w:val="Medium Grid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insideV w:val="single" w:sz="8" w:space="0" w:color="ABAE9C" w:themeColor="accent5" w:themeTint="BF"/>
      </w:tblBorders>
    </w:tblPr>
    <w:tcPr>
      <w:shd w:val="clear" w:color="auto" w:fill="E3E4DE" w:themeFill="accent5" w:themeFillTint="3F"/>
    </w:tcPr>
    <w:tblStylePr w:type="firstRow">
      <w:rPr>
        <w:b/>
        <w:bCs/>
      </w:rPr>
    </w:tblStylePr>
    <w:tblStylePr w:type="lastRow">
      <w:rPr>
        <w:b/>
        <w:bCs/>
      </w:rPr>
      <w:tblPr/>
      <w:tcPr>
        <w:tcBorders>
          <w:top w:val="single" w:sz="18" w:space="0" w:color="ABAE9C" w:themeColor="accent5" w:themeTint="BF"/>
        </w:tcBorders>
      </w:tcPr>
    </w:tblStylePr>
    <w:tblStylePr w:type="firstCol">
      <w:rPr>
        <w:b/>
        <w:bCs/>
      </w:rPr>
    </w:tblStylePr>
    <w:tblStylePr w:type="lastCol">
      <w:rPr>
        <w:b/>
        <w:bCs/>
      </w:rPr>
    </w:tblStylePr>
    <w:tblStylePr w:type="band1Vert">
      <w:tblPr/>
      <w:tcPr>
        <w:shd w:val="clear" w:color="auto" w:fill="C7C9BD" w:themeFill="accent5" w:themeFillTint="7F"/>
      </w:tcPr>
    </w:tblStylePr>
    <w:tblStylePr w:type="band1Horz">
      <w:tblPr/>
      <w:tcPr>
        <w:shd w:val="clear" w:color="auto" w:fill="C7C9BD" w:themeFill="accent5" w:themeFillTint="7F"/>
      </w:tcPr>
    </w:tblStylePr>
  </w:style>
  <w:style w:type="table" w:styleId="MediumGrid1-Accent6">
    <w:name w:val="Medium Grid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insideV w:val="single" w:sz="8" w:space="0" w:color="B860A5" w:themeColor="accent6" w:themeTint="BF"/>
      </w:tblBorders>
    </w:tblPr>
    <w:tcPr>
      <w:shd w:val="clear" w:color="auto" w:fill="E7CAE1" w:themeFill="accent6" w:themeFillTint="3F"/>
    </w:tcPr>
    <w:tblStylePr w:type="firstRow">
      <w:rPr>
        <w:b/>
        <w:bCs/>
      </w:rPr>
    </w:tblStylePr>
    <w:tblStylePr w:type="lastRow">
      <w:rPr>
        <w:b/>
        <w:bCs/>
      </w:rPr>
      <w:tblPr/>
      <w:tcPr>
        <w:tcBorders>
          <w:top w:val="single" w:sz="18" w:space="0" w:color="B860A5" w:themeColor="accent6" w:themeTint="BF"/>
        </w:tcBorders>
      </w:tcPr>
    </w:tblStylePr>
    <w:tblStylePr w:type="firstCol">
      <w:rPr>
        <w:b/>
        <w:bCs/>
      </w:rPr>
    </w:tblStylePr>
    <w:tblStylePr w:type="lastCol">
      <w:rPr>
        <w:b/>
        <w:bCs/>
      </w:rPr>
    </w:tblStylePr>
    <w:tblStylePr w:type="band1Vert">
      <w:tblPr/>
      <w:tcPr>
        <w:shd w:val="clear" w:color="auto" w:fill="D095C3" w:themeFill="accent6" w:themeFillTint="7F"/>
      </w:tcPr>
    </w:tblStylePr>
    <w:tblStylePr w:type="band1Horz">
      <w:tblPr/>
      <w:tcPr>
        <w:shd w:val="clear" w:color="auto" w:fill="D095C3" w:themeFill="accent6" w:themeFillTint="7F"/>
      </w:tcPr>
    </w:tblStylePr>
  </w:style>
  <w:style w:type="table" w:customStyle="1" w:styleId="MediumGrid21">
    <w:name w:val="Medium Grid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insideH w:val="single" w:sz="8" w:space="0" w:color="C0C0C0" w:themeColor="text1"/>
        <w:insideV w:val="single" w:sz="8" w:space="0" w:color="C0C0C0" w:themeColor="text1"/>
      </w:tblBorders>
    </w:tblPr>
    <w:tcPr>
      <w:shd w:val="clear" w:color="auto" w:fill="EFEFEF" w:themeFill="text1" w:themeFillTint="3F"/>
    </w:tcPr>
    <w:tblStylePr w:type="firstRow">
      <w:rPr>
        <w:b/>
        <w:bCs/>
        <w:color w:val="C0C0C0" w:themeColor="text1"/>
      </w:rPr>
      <w:tblPr/>
      <w:tcPr>
        <w:shd w:val="clear" w:color="auto" w:fill="F8F8F8" w:themeFill="tex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2F2F2" w:themeFill="text1" w:themeFillTint="33"/>
      </w:tcPr>
    </w:tblStylePr>
    <w:tblStylePr w:type="band1Vert">
      <w:tblPr/>
      <w:tcPr>
        <w:shd w:val="clear" w:color="auto" w:fill="DFDFDF" w:themeFill="text1" w:themeFillTint="7F"/>
      </w:tcPr>
    </w:tblStylePr>
    <w:tblStylePr w:type="band1Horz">
      <w:tblPr/>
      <w:tcPr>
        <w:tcBorders>
          <w:insideH w:val="single" w:sz="6" w:space="0" w:color="C0C0C0" w:themeColor="text1"/>
          <w:insideV w:val="single" w:sz="6" w:space="0" w:color="C0C0C0" w:themeColor="text1"/>
        </w:tcBorders>
        <w:shd w:val="clear" w:color="auto" w:fill="DFDFD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insideH w:val="single" w:sz="8" w:space="0" w:color="CC2131" w:themeColor="accent1"/>
        <w:insideV w:val="single" w:sz="8" w:space="0" w:color="CC2131" w:themeColor="accent1"/>
      </w:tblBorders>
    </w:tblPr>
    <w:tcPr>
      <w:shd w:val="clear" w:color="auto" w:fill="F5C4C9" w:themeFill="accent1" w:themeFillTint="3F"/>
    </w:tcPr>
    <w:tblStylePr w:type="firstRow">
      <w:rPr>
        <w:b/>
        <w:bCs/>
        <w:color w:val="C0C0C0" w:themeColor="text1"/>
      </w:rPr>
      <w:tblPr/>
      <w:tcPr>
        <w:shd w:val="clear" w:color="auto" w:fill="FBE7E9" w:themeFill="accent1"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7CFD3" w:themeFill="accent1" w:themeFillTint="33"/>
      </w:tcPr>
    </w:tblStylePr>
    <w:tblStylePr w:type="band1Vert">
      <w:tblPr/>
      <w:tcPr>
        <w:shd w:val="clear" w:color="auto" w:fill="EC8992" w:themeFill="accent1" w:themeFillTint="7F"/>
      </w:tcPr>
    </w:tblStylePr>
    <w:tblStylePr w:type="band1Horz">
      <w:tblPr/>
      <w:tcPr>
        <w:tcBorders>
          <w:insideH w:val="single" w:sz="6" w:space="0" w:color="CC2131" w:themeColor="accent1"/>
          <w:insideV w:val="single" w:sz="6" w:space="0" w:color="CC2131" w:themeColor="accent1"/>
        </w:tcBorders>
        <w:shd w:val="clear" w:color="auto" w:fill="EC8992"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insideH w:val="single" w:sz="8" w:space="0" w:color="319EE0" w:themeColor="accent2"/>
        <w:insideV w:val="single" w:sz="8" w:space="0" w:color="319EE0" w:themeColor="accent2"/>
      </w:tblBorders>
    </w:tblPr>
    <w:tcPr>
      <w:shd w:val="clear" w:color="auto" w:fill="CCE6F7" w:themeFill="accent2" w:themeFillTint="3F"/>
    </w:tcPr>
    <w:tblStylePr w:type="firstRow">
      <w:rPr>
        <w:b/>
        <w:bCs/>
        <w:color w:val="C0C0C0" w:themeColor="text1"/>
      </w:rPr>
      <w:tblPr/>
      <w:tcPr>
        <w:shd w:val="clear" w:color="auto" w:fill="EAF5FC" w:themeFill="accent2"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D5EBF8" w:themeFill="accent2" w:themeFillTint="33"/>
      </w:tcPr>
    </w:tblStylePr>
    <w:tblStylePr w:type="band1Vert">
      <w:tblPr/>
      <w:tcPr>
        <w:shd w:val="clear" w:color="auto" w:fill="98CEEF" w:themeFill="accent2" w:themeFillTint="7F"/>
      </w:tcPr>
    </w:tblStylePr>
    <w:tblStylePr w:type="band1Horz">
      <w:tblPr/>
      <w:tcPr>
        <w:tcBorders>
          <w:insideH w:val="single" w:sz="6" w:space="0" w:color="319EE0" w:themeColor="accent2"/>
          <w:insideV w:val="single" w:sz="6" w:space="0" w:color="319EE0" w:themeColor="accent2"/>
        </w:tcBorders>
        <w:shd w:val="clear" w:color="auto" w:fill="98CE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insideH w:val="single" w:sz="8" w:space="0" w:color="A39A00" w:themeColor="accent3"/>
        <w:insideV w:val="single" w:sz="8" w:space="0" w:color="A39A00" w:themeColor="accent3"/>
      </w:tblBorders>
    </w:tblPr>
    <w:tcPr>
      <w:shd w:val="clear" w:color="auto" w:fill="FFF9A9" w:themeFill="accent3" w:themeFillTint="3F"/>
    </w:tcPr>
    <w:tblStylePr w:type="firstRow">
      <w:rPr>
        <w:b/>
        <w:bCs/>
        <w:color w:val="C0C0C0" w:themeColor="text1"/>
      </w:rPr>
      <w:tblPr/>
      <w:tcPr>
        <w:shd w:val="clear" w:color="auto" w:fill="FFFCDC" w:themeFill="accent3"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FFAB9" w:themeFill="accent3" w:themeFillTint="33"/>
      </w:tcPr>
    </w:tblStylePr>
    <w:tblStylePr w:type="band1Vert">
      <w:tblPr/>
      <w:tcPr>
        <w:shd w:val="clear" w:color="auto" w:fill="FFF452" w:themeFill="accent3" w:themeFillTint="7F"/>
      </w:tcPr>
    </w:tblStylePr>
    <w:tblStylePr w:type="band1Horz">
      <w:tblPr/>
      <w:tcPr>
        <w:tcBorders>
          <w:insideH w:val="single" w:sz="6" w:space="0" w:color="A39A00" w:themeColor="accent3"/>
          <w:insideV w:val="single" w:sz="6" w:space="0" w:color="A39A00" w:themeColor="accent3"/>
        </w:tcBorders>
        <w:shd w:val="clear" w:color="auto" w:fill="FFF45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insideH w:val="single" w:sz="8" w:space="0" w:color="DD6F01" w:themeColor="accent4"/>
        <w:insideV w:val="single" w:sz="8" w:space="0" w:color="DD6F01" w:themeColor="accent4"/>
      </w:tblBorders>
    </w:tblPr>
    <w:tcPr>
      <w:shd w:val="clear" w:color="auto" w:fill="FEDBB7" w:themeFill="accent4" w:themeFillTint="3F"/>
    </w:tcPr>
    <w:tblStylePr w:type="firstRow">
      <w:rPr>
        <w:b/>
        <w:bCs/>
        <w:color w:val="C0C0C0" w:themeColor="text1"/>
      </w:rPr>
      <w:tblPr/>
      <w:tcPr>
        <w:shd w:val="clear" w:color="auto" w:fill="FFF0E2" w:themeFill="accent4"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FEE2C5" w:themeFill="accent4" w:themeFillTint="33"/>
      </w:tcPr>
    </w:tblStylePr>
    <w:tblStylePr w:type="band1Vert">
      <w:tblPr/>
      <w:tcPr>
        <w:shd w:val="clear" w:color="auto" w:fill="FEB66F" w:themeFill="accent4" w:themeFillTint="7F"/>
      </w:tcPr>
    </w:tblStylePr>
    <w:tblStylePr w:type="band1Horz">
      <w:tblPr/>
      <w:tcPr>
        <w:tcBorders>
          <w:insideH w:val="single" w:sz="6" w:space="0" w:color="DD6F01" w:themeColor="accent4"/>
          <w:insideV w:val="single" w:sz="6" w:space="0" w:color="DD6F01" w:themeColor="accent4"/>
        </w:tcBorders>
        <w:shd w:val="clear" w:color="auto" w:fill="FEB66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insideH w:val="single" w:sz="8" w:space="0" w:color="8F947C" w:themeColor="accent5"/>
        <w:insideV w:val="single" w:sz="8" w:space="0" w:color="8F947C" w:themeColor="accent5"/>
      </w:tblBorders>
    </w:tblPr>
    <w:tcPr>
      <w:shd w:val="clear" w:color="auto" w:fill="E3E4DE" w:themeFill="accent5" w:themeFillTint="3F"/>
    </w:tcPr>
    <w:tblStylePr w:type="firstRow">
      <w:rPr>
        <w:b/>
        <w:bCs/>
        <w:color w:val="C0C0C0" w:themeColor="text1"/>
      </w:rPr>
      <w:tblPr/>
      <w:tcPr>
        <w:shd w:val="clear" w:color="auto" w:fill="F4F4F2" w:themeFill="accent5"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8E9E4" w:themeFill="accent5" w:themeFillTint="33"/>
      </w:tcPr>
    </w:tblStylePr>
    <w:tblStylePr w:type="band1Vert">
      <w:tblPr/>
      <w:tcPr>
        <w:shd w:val="clear" w:color="auto" w:fill="C7C9BD" w:themeFill="accent5" w:themeFillTint="7F"/>
      </w:tcPr>
    </w:tblStylePr>
    <w:tblStylePr w:type="band1Horz">
      <w:tblPr/>
      <w:tcPr>
        <w:tcBorders>
          <w:insideH w:val="single" w:sz="6" w:space="0" w:color="8F947C" w:themeColor="accent5"/>
          <w:insideV w:val="single" w:sz="6" w:space="0" w:color="8F947C" w:themeColor="accent5"/>
        </w:tcBorders>
        <w:shd w:val="clear" w:color="auto" w:fill="C7C9B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insideH w:val="single" w:sz="8" w:space="0" w:color="8D3F7C" w:themeColor="accent6"/>
        <w:insideV w:val="single" w:sz="8" w:space="0" w:color="8D3F7C" w:themeColor="accent6"/>
      </w:tblBorders>
    </w:tblPr>
    <w:tcPr>
      <w:shd w:val="clear" w:color="auto" w:fill="E7CAE1" w:themeFill="accent6" w:themeFillTint="3F"/>
    </w:tcPr>
    <w:tblStylePr w:type="firstRow">
      <w:rPr>
        <w:b/>
        <w:bCs/>
        <w:color w:val="C0C0C0" w:themeColor="text1"/>
      </w:rPr>
      <w:tblPr/>
      <w:tcPr>
        <w:shd w:val="clear" w:color="auto" w:fill="F5EAF3" w:themeFill="accent6" w:themeFillTint="19"/>
      </w:tcPr>
    </w:tblStylePr>
    <w:tblStylePr w:type="lastRow">
      <w:rPr>
        <w:b/>
        <w:bCs/>
        <w:color w:val="C0C0C0" w:themeColor="text1"/>
      </w:rPr>
      <w:tblPr/>
      <w:tcPr>
        <w:tcBorders>
          <w:top w:val="single" w:sz="12" w:space="0" w:color="C0C0C0" w:themeColor="text1"/>
          <w:left w:val="nil"/>
          <w:bottom w:val="nil"/>
          <w:right w:val="nil"/>
          <w:insideH w:val="nil"/>
          <w:insideV w:val="nil"/>
        </w:tcBorders>
        <w:shd w:val="clear" w:color="auto" w:fill="FFFFFF" w:themeFill="background1"/>
      </w:tcPr>
    </w:tblStylePr>
    <w:tblStylePr w:type="firstCol">
      <w:rPr>
        <w:b/>
        <w:bCs/>
        <w:color w:val="C0C0C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C0C0C0" w:themeColor="text1"/>
      </w:rPr>
      <w:tblPr/>
      <w:tcPr>
        <w:tcBorders>
          <w:top w:val="nil"/>
          <w:left w:val="nil"/>
          <w:bottom w:val="nil"/>
          <w:right w:val="nil"/>
          <w:insideH w:val="nil"/>
          <w:insideV w:val="nil"/>
        </w:tcBorders>
        <w:shd w:val="clear" w:color="auto" w:fill="ECD4E6" w:themeFill="accent6" w:themeFillTint="33"/>
      </w:tcPr>
    </w:tblStylePr>
    <w:tblStylePr w:type="band1Vert">
      <w:tblPr/>
      <w:tcPr>
        <w:shd w:val="clear" w:color="auto" w:fill="D095C3" w:themeFill="accent6" w:themeFillTint="7F"/>
      </w:tcPr>
    </w:tblStylePr>
    <w:tblStylePr w:type="band1Horz">
      <w:tblPr/>
      <w:tcPr>
        <w:tcBorders>
          <w:insideH w:val="single" w:sz="6" w:space="0" w:color="8D3F7C" w:themeColor="accent6"/>
          <w:insideV w:val="single" w:sz="6" w:space="0" w:color="8D3F7C" w:themeColor="accent6"/>
        </w:tcBorders>
        <w:shd w:val="clear" w:color="auto" w:fill="D095C3"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C0C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C0C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C0C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text1" w:themeFillTint="7F"/>
      </w:tcPr>
    </w:tblStylePr>
  </w:style>
  <w:style w:type="table" w:styleId="MediumGrid3-Accent1">
    <w:name w:val="Medium Grid 3 Accent 1"/>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5C4C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213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213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213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C8992"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C8992" w:themeFill="accent1" w:themeFillTint="7F"/>
      </w:tcPr>
    </w:tblStylePr>
  </w:style>
  <w:style w:type="table" w:styleId="MediumGrid3-Accent2">
    <w:name w:val="Medium Grid 3 Accent 2"/>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CE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19EE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19EE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19EE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8CE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8CEEF" w:themeFill="accent2" w:themeFillTint="7F"/>
      </w:tcPr>
    </w:tblStylePr>
  </w:style>
  <w:style w:type="table" w:styleId="MediumGrid3-Accent3">
    <w:name w:val="Medium Grid 3 Accent 3"/>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9A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9A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9A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9A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45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452" w:themeFill="accent3" w:themeFillTint="7F"/>
      </w:tcPr>
    </w:tblStylePr>
  </w:style>
  <w:style w:type="table" w:styleId="MediumGrid3-Accent4">
    <w:name w:val="Medium Grid 3 Accent 4"/>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BB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D6F01"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D6F01"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D6F01"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B66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B66F" w:themeFill="accent4" w:themeFillTint="7F"/>
      </w:tcPr>
    </w:tblStylePr>
  </w:style>
  <w:style w:type="table" w:styleId="MediumGrid3-Accent5">
    <w:name w:val="Medium Grid 3 Accent 5"/>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3E4DE"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F947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F947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F947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7C9B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7C9BD" w:themeFill="accent5" w:themeFillTint="7F"/>
      </w:tcPr>
    </w:tblStylePr>
  </w:style>
  <w:style w:type="table" w:styleId="MediumGrid3-Accent6">
    <w:name w:val="Medium Grid 3 Accent 6"/>
    <w:basedOn w:val="TableNormal"/>
    <w:uiPriority w:val="99"/>
    <w:semiHidden/>
    <w:rsid w:val="00C25C7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CAE1"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D3F7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D3F7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D3F7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095C3"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095C3" w:themeFill="accent6" w:themeFillTint="7F"/>
      </w:tcPr>
    </w:tblStylePr>
  </w:style>
  <w:style w:type="table" w:customStyle="1" w:styleId="MediumList11">
    <w:name w:val="Medium Lis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0C0C0" w:themeColor="text1"/>
        <w:bottom w:val="single" w:sz="8" w:space="0" w:color="C0C0C0" w:themeColor="text1"/>
      </w:tblBorders>
    </w:tblPr>
    <w:tblStylePr w:type="firstRow">
      <w:rPr>
        <w:rFonts w:asciiTheme="majorHAnsi" w:eastAsiaTheme="majorEastAsia" w:hAnsiTheme="majorHAnsi" w:cstheme="majorBidi"/>
      </w:rPr>
      <w:tblPr/>
      <w:tcPr>
        <w:tcBorders>
          <w:top w:val="nil"/>
          <w:bottom w:val="single" w:sz="8" w:space="0" w:color="C0C0C0" w:themeColor="text1"/>
        </w:tcBorders>
      </w:tcPr>
    </w:tblStylePr>
    <w:tblStylePr w:type="lastRow">
      <w:rPr>
        <w:b/>
        <w:bCs/>
        <w:color w:val="000000" w:themeColor="text2"/>
      </w:rPr>
      <w:tblPr/>
      <w:tcPr>
        <w:tcBorders>
          <w:top w:val="single" w:sz="8" w:space="0" w:color="C0C0C0" w:themeColor="text1"/>
          <w:bottom w:val="single" w:sz="8" w:space="0" w:color="C0C0C0" w:themeColor="text1"/>
        </w:tcBorders>
      </w:tcPr>
    </w:tblStylePr>
    <w:tblStylePr w:type="firstCol">
      <w:rPr>
        <w:b/>
        <w:bCs/>
      </w:rPr>
    </w:tblStylePr>
    <w:tblStylePr w:type="lastCol">
      <w:rPr>
        <w:b/>
        <w:bCs/>
      </w:rPr>
      <w:tblPr/>
      <w:tcPr>
        <w:tcBorders>
          <w:top w:val="single" w:sz="8" w:space="0" w:color="C0C0C0" w:themeColor="text1"/>
          <w:bottom w:val="single" w:sz="8" w:space="0" w:color="C0C0C0" w:themeColor="text1"/>
        </w:tcBorders>
      </w:tcPr>
    </w:tblStylePr>
    <w:tblStylePr w:type="band1Vert">
      <w:tblPr/>
      <w:tcPr>
        <w:shd w:val="clear" w:color="auto" w:fill="EFEFEF" w:themeFill="text1" w:themeFillTint="3F"/>
      </w:tcPr>
    </w:tblStylePr>
    <w:tblStylePr w:type="band1Horz">
      <w:tblPr/>
      <w:tcPr>
        <w:shd w:val="clear" w:color="auto" w:fill="EFEFEF" w:themeFill="text1" w:themeFillTint="3F"/>
      </w:tcPr>
    </w:tblStylePr>
  </w:style>
  <w:style w:type="table" w:customStyle="1" w:styleId="MediumList1-Accent11">
    <w:name w:val="Medium List 1 - Accent 11"/>
    <w:basedOn w:val="TableNormal"/>
    <w:uiPriority w:val="99"/>
    <w:semiHidden/>
    <w:rsid w:val="00C25C71"/>
    <w:pPr>
      <w:spacing w:after="0" w:line="240" w:lineRule="auto"/>
    </w:pPr>
    <w:rPr>
      <w:color w:val="C0C0C0" w:themeColor="text1"/>
    </w:rPr>
    <w:tblPr>
      <w:tblStyleRowBandSize w:val="1"/>
      <w:tblStyleColBandSize w:val="1"/>
      <w:tblBorders>
        <w:top w:val="single" w:sz="8" w:space="0" w:color="CC2131" w:themeColor="accent1"/>
        <w:bottom w:val="single" w:sz="8" w:space="0" w:color="CC2131" w:themeColor="accent1"/>
      </w:tblBorders>
    </w:tblPr>
    <w:tblStylePr w:type="firstRow">
      <w:rPr>
        <w:rFonts w:asciiTheme="majorHAnsi" w:eastAsiaTheme="majorEastAsia" w:hAnsiTheme="majorHAnsi" w:cstheme="majorBidi"/>
      </w:rPr>
      <w:tblPr/>
      <w:tcPr>
        <w:tcBorders>
          <w:top w:val="nil"/>
          <w:bottom w:val="single" w:sz="8" w:space="0" w:color="CC2131" w:themeColor="accent1"/>
        </w:tcBorders>
      </w:tcPr>
    </w:tblStylePr>
    <w:tblStylePr w:type="lastRow">
      <w:rPr>
        <w:b/>
        <w:bCs/>
        <w:color w:val="000000" w:themeColor="text2"/>
      </w:rPr>
      <w:tblPr/>
      <w:tcPr>
        <w:tcBorders>
          <w:top w:val="single" w:sz="8" w:space="0" w:color="CC2131" w:themeColor="accent1"/>
          <w:bottom w:val="single" w:sz="8" w:space="0" w:color="CC2131" w:themeColor="accent1"/>
        </w:tcBorders>
      </w:tcPr>
    </w:tblStylePr>
    <w:tblStylePr w:type="firstCol">
      <w:rPr>
        <w:b/>
        <w:bCs/>
      </w:rPr>
    </w:tblStylePr>
    <w:tblStylePr w:type="lastCol">
      <w:rPr>
        <w:b/>
        <w:bCs/>
      </w:rPr>
      <w:tblPr/>
      <w:tcPr>
        <w:tcBorders>
          <w:top w:val="single" w:sz="8" w:space="0" w:color="CC2131" w:themeColor="accent1"/>
          <w:bottom w:val="single" w:sz="8" w:space="0" w:color="CC2131" w:themeColor="accent1"/>
        </w:tcBorders>
      </w:tcPr>
    </w:tblStylePr>
    <w:tblStylePr w:type="band1Vert">
      <w:tblPr/>
      <w:tcPr>
        <w:shd w:val="clear" w:color="auto" w:fill="F5C4C9" w:themeFill="accent1" w:themeFillTint="3F"/>
      </w:tcPr>
    </w:tblStylePr>
    <w:tblStylePr w:type="band1Horz">
      <w:tblPr/>
      <w:tcPr>
        <w:shd w:val="clear" w:color="auto" w:fill="F5C4C9" w:themeFill="accent1" w:themeFillTint="3F"/>
      </w:tcPr>
    </w:tblStylePr>
  </w:style>
  <w:style w:type="table" w:styleId="MediumList1-Accent2">
    <w:name w:val="Medium List 1 Accent 2"/>
    <w:basedOn w:val="TableNormal"/>
    <w:uiPriority w:val="99"/>
    <w:semiHidden/>
    <w:rsid w:val="00C25C71"/>
    <w:pPr>
      <w:spacing w:after="0" w:line="240" w:lineRule="auto"/>
    </w:pPr>
    <w:rPr>
      <w:color w:val="C0C0C0" w:themeColor="text1"/>
    </w:rPr>
    <w:tblPr>
      <w:tblStyleRowBandSize w:val="1"/>
      <w:tblStyleColBandSize w:val="1"/>
      <w:tblBorders>
        <w:top w:val="single" w:sz="8" w:space="0" w:color="319EE0" w:themeColor="accent2"/>
        <w:bottom w:val="single" w:sz="8" w:space="0" w:color="319EE0" w:themeColor="accent2"/>
      </w:tblBorders>
    </w:tblPr>
    <w:tblStylePr w:type="firstRow">
      <w:rPr>
        <w:rFonts w:asciiTheme="majorHAnsi" w:eastAsiaTheme="majorEastAsia" w:hAnsiTheme="majorHAnsi" w:cstheme="majorBidi"/>
      </w:rPr>
      <w:tblPr/>
      <w:tcPr>
        <w:tcBorders>
          <w:top w:val="nil"/>
          <w:bottom w:val="single" w:sz="8" w:space="0" w:color="319EE0" w:themeColor="accent2"/>
        </w:tcBorders>
      </w:tcPr>
    </w:tblStylePr>
    <w:tblStylePr w:type="lastRow">
      <w:rPr>
        <w:b/>
        <w:bCs/>
        <w:color w:val="000000" w:themeColor="text2"/>
      </w:rPr>
      <w:tblPr/>
      <w:tcPr>
        <w:tcBorders>
          <w:top w:val="single" w:sz="8" w:space="0" w:color="319EE0" w:themeColor="accent2"/>
          <w:bottom w:val="single" w:sz="8" w:space="0" w:color="319EE0" w:themeColor="accent2"/>
        </w:tcBorders>
      </w:tcPr>
    </w:tblStylePr>
    <w:tblStylePr w:type="firstCol">
      <w:rPr>
        <w:b/>
        <w:bCs/>
      </w:rPr>
    </w:tblStylePr>
    <w:tblStylePr w:type="lastCol">
      <w:rPr>
        <w:b/>
        <w:bCs/>
      </w:rPr>
      <w:tblPr/>
      <w:tcPr>
        <w:tcBorders>
          <w:top w:val="single" w:sz="8" w:space="0" w:color="319EE0" w:themeColor="accent2"/>
          <w:bottom w:val="single" w:sz="8" w:space="0" w:color="319EE0" w:themeColor="accent2"/>
        </w:tcBorders>
      </w:tcPr>
    </w:tblStylePr>
    <w:tblStylePr w:type="band1Vert">
      <w:tblPr/>
      <w:tcPr>
        <w:shd w:val="clear" w:color="auto" w:fill="CCE6F7" w:themeFill="accent2" w:themeFillTint="3F"/>
      </w:tcPr>
    </w:tblStylePr>
    <w:tblStylePr w:type="band1Horz">
      <w:tblPr/>
      <w:tcPr>
        <w:shd w:val="clear" w:color="auto" w:fill="CCE6F7" w:themeFill="accent2" w:themeFillTint="3F"/>
      </w:tcPr>
    </w:tblStylePr>
  </w:style>
  <w:style w:type="table" w:styleId="MediumList1-Accent3">
    <w:name w:val="Medium List 1 Accent 3"/>
    <w:basedOn w:val="TableNormal"/>
    <w:uiPriority w:val="99"/>
    <w:semiHidden/>
    <w:rsid w:val="00C25C71"/>
    <w:pPr>
      <w:spacing w:after="0" w:line="240" w:lineRule="auto"/>
    </w:pPr>
    <w:rPr>
      <w:color w:val="C0C0C0" w:themeColor="text1"/>
    </w:rPr>
    <w:tblPr>
      <w:tblStyleRowBandSize w:val="1"/>
      <w:tblStyleColBandSize w:val="1"/>
      <w:tblBorders>
        <w:top w:val="single" w:sz="8" w:space="0" w:color="A39A00" w:themeColor="accent3"/>
        <w:bottom w:val="single" w:sz="8" w:space="0" w:color="A39A00" w:themeColor="accent3"/>
      </w:tblBorders>
    </w:tblPr>
    <w:tblStylePr w:type="firstRow">
      <w:rPr>
        <w:rFonts w:asciiTheme="majorHAnsi" w:eastAsiaTheme="majorEastAsia" w:hAnsiTheme="majorHAnsi" w:cstheme="majorBidi"/>
      </w:rPr>
      <w:tblPr/>
      <w:tcPr>
        <w:tcBorders>
          <w:top w:val="nil"/>
          <w:bottom w:val="single" w:sz="8" w:space="0" w:color="A39A00" w:themeColor="accent3"/>
        </w:tcBorders>
      </w:tcPr>
    </w:tblStylePr>
    <w:tblStylePr w:type="lastRow">
      <w:rPr>
        <w:b/>
        <w:bCs/>
        <w:color w:val="000000" w:themeColor="text2"/>
      </w:rPr>
      <w:tblPr/>
      <w:tcPr>
        <w:tcBorders>
          <w:top w:val="single" w:sz="8" w:space="0" w:color="A39A00" w:themeColor="accent3"/>
          <w:bottom w:val="single" w:sz="8" w:space="0" w:color="A39A00" w:themeColor="accent3"/>
        </w:tcBorders>
      </w:tcPr>
    </w:tblStylePr>
    <w:tblStylePr w:type="firstCol">
      <w:rPr>
        <w:b/>
        <w:bCs/>
      </w:rPr>
    </w:tblStylePr>
    <w:tblStylePr w:type="lastCol">
      <w:rPr>
        <w:b/>
        <w:bCs/>
      </w:rPr>
      <w:tblPr/>
      <w:tcPr>
        <w:tcBorders>
          <w:top w:val="single" w:sz="8" w:space="0" w:color="A39A00" w:themeColor="accent3"/>
          <w:bottom w:val="single" w:sz="8" w:space="0" w:color="A39A00" w:themeColor="accent3"/>
        </w:tcBorders>
      </w:tcPr>
    </w:tblStylePr>
    <w:tblStylePr w:type="band1Vert">
      <w:tblPr/>
      <w:tcPr>
        <w:shd w:val="clear" w:color="auto" w:fill="FFF9A9" w:themeFill="accent3" w:themeFillTint="3F"/>
      </w:tcPr>
    </w:tblStylePr>
    <w:tblStylePr w:type="band1Horz">
      <w:tblPr/>
      <w:tcPr>
        <w:shd w:val="clear" w:color="auto" w:fill="FFF9A9" w:themeFill="accent3" w:themeFillTint="3F"/>
      </w:tcPr>
    </w:tblStylePr>
  </w:style>
  <w:style w:type="table" w:styleId="MediumList1-Accent4">
    <w:name w:val="Medium List 1 Accent 4"/>
    <w:basedOn w:val="TableNormal"/>
    <w:uiPriority w:val="99"/>
    <w:semiHidden/>
    <w:rsid w:val="00C25C71"/>
    <w:pPr>
      <w:spacing w:after="0" w:line="240" w:lineRule="auto"/>
    </w:pPr>
    <w:rPr>
      <w:color w:val="C0C0C0" w:themeColor="text1"/>
    </w:rPr>
    <w:tblPr>
      <w:tblStyleRowBandSize w:val="1"/>
      <w:tblStyleColBandSize w:val="1"/>
      <w:tblBorders>
        <w:top w:val="single" w:sz="8" w:space="0" w:color="DD6F01" w:themeColor="accent4"/>
        <w:bottom w:val="single" w:sz="8" w:space="0" w:color="DD6F01" w:themeColor="accent4"/>
      </w:tblBorders>
    </w:tblPr>
    <w:tblStylePr w:type="firstRow">
      <w:rPr>
        <w:rFonts w:asciiTheme="majorHAnsi" w:eastAsiaTheme="majorEastAsia" w:hAnsiTheme="majorHAnsi" w:cstheme="majorBidi"/>
      </w:rPr>
      <w:tblPr/>
      <w:tcPr>
        <w:tcBorders>
          <w:top w:val="nil"/>
          <w:bottom w:val="single" w:sz="8" w:space="0" w:color="DD6F01" w:themeColor="accent4"/>
        </w:tcBorders>
      </w:tcPr>
    </w:tblStylePr>
    <w:tblStylePr w:type="lastRow">
      <w:rPr>
        <w:b/>
        <w:bCs/>
        <w:color w:val="000000" w:themeColor="text2"/>
      </w:rPr>
      <w:tblPr/>
      <w:tcPr>
        <w:tcBorders>
          <w:top w:val="single" w:sz="8" w:space="0" w:color="DD6F01" w:themeColor="accent4"/>
          <w:bottom w:val="single" w:sz="8" w:space="0" w:color="DD6F01" w:themeColor="accent4"/>
        </w:tcBorders>
      </w:tcPr>
    </w:tblStylePr>
    <w:tblStylePr w:type="firstCol">
      <w:rPr>
        <w:b/>
        <w:bCs/>
      </w:rPr>
    </w:tblStylePr>
    <w:tblStylePr w:type="lastCol">
      <w:rPr>
        <w:b/>
        <w:bCs/>
      </w:rPr>
      <w:tblPr/>
      <w:tcPr>
        <w:tcBorders>
          <w:top w:val="single" w:sz="8" w:space="0" w:color="DD6F01" w:themeColor="accent4"/>
          <w:bottom w:val="single" w:sz="8" w:space="0" w:color="DD6F01" w:themeColor="accent4"/>
        </w:tcBorders>
      </w:tcPr>
    </w:tblStylePr>
    <w:tblStylePr w:type="band1Vert">
      <w:tblPr/>
      <w:tcPr>
        <w:shd w:val="clear" w:color="auto" w:fill="FEDBB7" w:themeFill="accent4" w:themeFillTint="3F"/>
      </w:tcPr>
    </w:tblStylePr>
    <w:tblStylePr w:type="band1Horz">
      <w:tblPr/>
      <w:tcPr>
        <w:shd w:val="clear" w:color="auto" w:fill="FEDBB7" w:themeFill="accent4" w:themeFillTint="3F"/>
      </w:tcPr>
    </w:tblStylePr>
  </w:style>
  <w:style w:type="table" w:styleId="MediumList1-Accent5">
    <w:name w:val="Medium List 1 Accent 5"/>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F947C" w:themeColor="accent5"/>
        <w:bottom w:val="single" w:sz="8" w:space="0" w:color="8F947C" w:themeColor="accent5"/>
      </w:tblBorders>
    </w:tblPr>
    <w:tblStylePr w:type="firstRow">
      <w:rPr>
        <w:rFonts w:asciiTheme="majorHAnsi" w:eastAsiaTheme="majorEastAsia" w:hAnsiTheme="majorHAnsi" w:cstheme="majorBidi"/>
      </w:rPr>
      <w:tblPr/>
      <w:tcPr>
        <w:tcBorders>
          <w:top w:val="nil"/>
          <w:bottom w:val="single" w:sz="8" w:space="0" w:color="8F947C" w:themeColor="accent5"/>
        </w:tcBorders>
      </w:tcPr>
    </w:tblStylePr>
    <w:tblStylePr w:type="lastRow">
      <w:rPr>
        <w:b/>
        <w:bCs/>
        <w:color w:val="000000" w:themeColor="text2"/>
      </w:rPr>
      <w:tblPr/>
      <w:tcPr>
        <w:tcBorders>
          <w:top w:val="single" w:sz="8" w:space="0" w:color="8F947C" w:themeColor="accent5"/>
          <w:bottom w:val="single" w:sz="8" w:space="0" w:color="8F947C" w:themeColor="accent5"/>
        </w:tcBorders>
      </w:tcPr>
    </w:tblStylePr>
    <w:tblStylePr w:type="firstCol">
      <w:rPr>
        <w:b/>
        <w:bCs/>
      </w:rPr>
    </w:tblStylePr>
    <w:tblStylePr w:type="lastCol">
      <w:rPr>
        <w:b/>
        <w:bCs/>
      </w:rPr>
      <w:tblPr/>
      <w:tcPr>
        <w:tcBorders>
          <w:top w:val="single" w:sz="8" w:space="0" w:color="8F947C" w:themeColor="accent5"/>
          <w:bottom w:val="single" w:sz="8" w:space="0" w:color="8F947C" w:themeColor="accent5"/>
        </w:tcBorders>
      </w:tcPr>
    </w:tblStylePr>
    <w:tblStylePr w:type="band1Vert">
      <w:tblPr/>
      <w:tcPr>
        <w:shd w:val="clear" w:color="auto" w:fill="E3E4DE" w:themeFill="accent5" w:themeFillTint="3F"/>
      </w:tcPr>
    </w:tblStylePr>
    <w:tblStylePr w:type="band1Horz">
      <w:tblPr/>
      <w:tcPr>
        <w:shd w:val="clear" w:color="auto" w:fill="E3E4DE" w:themeFill="accent5" w:themeFillTint="3F"/>
      </w:tcPr>
    </w:tblStylePr>
  </w:style>
  <w:style w:type="table" w:styleId="MediumList1-Accent6">
    <w:name w:val="Medium List 1 Accent 6"/>
    <w:basedOn w:val="TableNormal"/>
    <w:uiPriority w:val="99"/>
    <w:semiHidden/>
    <w:rsid w:val="00C25C71"/>
    <w:pPr>
      <w:spacing w:after="0" w:line="240" w:lineRule="auto"/>
    </w:pPr>
    <w:rPr>
      <w:color w:val="C0C0C0" w:themeColor="text1"/>
    </w:rPr>
    <w:tblPr>
      <w:tblStyleRowBandSize w:val="1"/>
      <w:tblStyleColBandSize w:val="1"/>
      <w:tblBorders>
        <w:top w:val="single" w:sz="8" w:space="0" w:color="8D3F7C" w:themeColor="accent6"/>
        <w:bottom w:val="single" w:sz="8" w:space="0" w:color="8D3F7C" w:themeColor="accent6"/>
      </w:tblBorders>
    </w:tblPr>
    <w:tblStylePr w:type="firstRow">
      <w:rPr>
        <w:rFonts w:asciiTheme="majorHAnsi" w:eastAsiaTheme="majorEastAsia" w:hAnsiTheme="majorHAnsi" w:cstheme="majorBidi"/>
      </w:rPr>
      <w:tblPr/>
      <w:tcPr>
        <w:tcBorders>
          <w:top w:val="nil"/>
          <w:bottom w:val="single" w:sz="8" w:space="0" w:color="8D3F7C" w:themeColor="accent6"/>
        </w:tcBorders>
      </w:tcPr>
    </w:tblStylePr>
    <w:tblStylePr w:type="lastRow">
      <w:rPr>
        <w:b/>
        <w:bCs/>
        <w:color w:val="000000" w:themeColor="text2"/>
      </w:rPr>
      <w:tblPr/>
      <w:tcPr>
        <w:tcBorders>
          <w:top w:val="single" w:sz="8" w:space="0" w:color="8D3F7C" w:themeColor="accent6"/>
          <w:bottom w:val="single" w:sz="8" w:space="0" w:color="8D3F7C" w:themeColor="accent6"/>
        </w:tcBorders>
      </w:tcPr>
    </w:tblStylePr>
    <w:tblStylePr w:type="firstCol">
      <w:rPr>
        <w:b/>
        <w:bCs/>
      </w:rPr>
    </w:tblStylePr>
    <w:tblStylePr w:type="lastCol">
      <w:rPr>
        <w:b/>
        <w:bCs/>
      </w:rPr>
      <w:tblPr/>
      <w:tcPr>
        <w:tcBorders>
          <w:top w:val="single" w:sz="8" w:space="0" w:color="8D3F7C" w:themeColor="accent6"/>
          <w:bottom w:val="single" w:sz="8" w:space="0" w:color="8D3F7C" w:themeColor="accent6"/>
        </w:tcBorders>
      </w:tcPr>
    </w:tblStylePr>
    <w:tblStylePr w:type="band1Vert">
      <w:tblPr/>
      <w:tcPr>
        <w:shd w:val="clear" w:color="auto" w:fill="E7CAE1" w:themeFill="accent6" w:themeFillTint="3F"/>
      </w:tcPr>
    </w:tblStylePr>
    <w:tblStylePr w:type="band1Horz">
      <w:tblPr/>
      <w:tcPr>
        <w:shd w:val="clear" w:color="auto" w:fill="E7CAE1" w:themeFill="accent6" w:themeFillTint="3F"/>
      </w:tcPr>
    </w:tblStylePr>
  </w:style>
  <w:style w:type="table" w:customStyle="1" w:styleId="MediumList21">
    <w:name w:val="Medium List 2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0C0C0" w:themeColor="text1"/>
        <w:left w:val="single" w:sz="8" w:space="0" w:color="C0C0C0" w:themeColor="text1"/>
        <w:bottom w:val="single" w:sz="8" w:space="0" w:color="C0C0C0" w:themeColor="text1"/>
        <w:right w:val="single" w:sz="8" w:space="0" w:color="C0C0C0" w:themeColor="text1"/>
      </w:tblBorders>
    </w:tblPr>
    <w:tblStylePr w:type="firstRow">
      <w:rPr>
        <w:sz w:val="24"/>
        <w:szCs w:val="24"/>
      </w:rPr>
      <w:tblPr/>
      <w:tcPr>
        <w:tcBorders>
          <w:top w:val="nil"/>
          <w:left w:val="nil"/>
          <w:bottom w:val="single" w:sz="24" w:space="0" w:color="C0C0C0" w:themeColor="text1"/>
          <w:right w:val="nil"/>
          <w:insideH w:val="nil"/>
          <w:insideV w:val="nil"/>
        </w:tcBorders>
        <w:shd w:val="clear" w:color="auto" w:fill="FFFFFF" w:themeFill="background1"/>
      </w:tcPr>
    </w:tblStylePr>
    <w:tblStylePr w:type="lastRow">
      <w:tblPr/>
      <w:tcPr>
        <w:tcBorders>
          <w:top w:val="single" w:sz="8" w:space="0" w:color="C0C0C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C0C0" w:themeColor="text1"/>
          <w:insideH w:val="nil"/>
          <w:insideV w:val="nil"/>
        </w:tcBorders>
        <w:shd w:val="clear" w:color="auto" w:fill="FFFFFF" w:themeFill="background1"/>
      </w:tcPr>
    </w:tblStylePr>
    <w:tblStylePr w:type="lastCol">
      <w:tblPr/>
      <w:tcPr>
        <w:tcBorders>
          <w:top w:val="nil"/>
          <w:left w:val="single" w:sz="8" w:space="0" w:color="C0C0C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text1" w:themeFillTint="3F"/>
      </w:tcPr>
    </w:tblStylePr>
    <w:tblStylePr w:type="band1Horz">
      <w:tblPr/>
      <w:tcPr>
        <w:tcBorders>
          <w:top w:val="nil"/>
          <w:bottom w:val="nil"/>
          <w:insideH w:val="nil"/>
          <w:insideV w:val="nil"/>
        </w:tcBorders>
        <w:shd w:val="clear" w:color="auto" w:fill="EFEFE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CC2131" w:themeColor="accent1"/>
        <w:left w:val="single" w:sz="8" w:space="0" w:color="CC2131" w:themeColor="accent1"/>
        <w:bottom w:val="single" w:sz="8" w:space="0" w:color="CC2131" w:themeColor="accent1"/>
        <w:right w:val="single" w:sz="8" w:space="0" w:color="CC2131" w:themeColor="accent1"/>
      </w:tblBorders>
    </w:tblPr>
    <w:tblStylePr w:type="firstRow">
      <w:rPr>
        <w:sz w:val="24"/>
        <w:szCs w:val="24"/>
      </w:rPr>
      <w:tblPr/>
      <w:tcPr>
        <w:tcBorders>
          <w:top w:val="nil"/>
          <w:left w:val="nil"/>
          <w:bottom w:val="single" w:sz="24" w:space="0" w:color="CC2131" w:themeColor="accent1"/>
          <w:right w:val="nil"/>
          <w:insideH w:val="nil"/>
          <w:insideV w:val="nil"/>
        </w:tcBorders>
        <w:shd w:val="clear" w:color="auto" w:fill="FFFFFF" w:themeFill="background1"/>
      </w:tcPr>
    </w:tblStylePr>
    <w:tblStylePr w:type="lastRow">
      <w:tblPr/>
      <w:tcPr>
        <w:tcBorders>
          <w:top w:val="single" w:sz="8" w:space="0" w:color="CC213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2131" w:themeColor="accent1"/>
          <w:insideH w:val="nil"/>
          <w:insideV w:val="nil"/>
        </w:tcBorders>
        <w:shd w:val="clear" w:color="auto" w:fill="FFFFFF" w:themeFill="background1"/>
      </w:tcPr>
    </w:tblStylePr>
    <w:tblStylePr w:type="lastCol">
      <w:tblPr/>
      <w:tcPr>
        <w:tcBorders>
          <w:top w:val="nil"/>
          <w:left w:val="single" w:sz="8" w:space="0" w:color="CC213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5C4C9" w:themeFill="accent1" w:themeFillTint="3F"/>
      </w:tcPr>
    </w:tblStylePr>
    <w:tblStylePr w:type="band1Horz">
      <w:tblPr/>
      <w:tcPr>
        <w:tcBorders>
          <w:top w:val="nil"/>
          <w:bottom w:val="nil"/>
          <w:insideH w:val="nil"/>
          <w:insideV w:val="nil"/>
        </w:tcBorders>
        <w:shd w:val="clear" w:color="auto" w:fill="F5C4C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319EE0" w:themeColor="accent2"/>
        <w:left w:val="single" w:sz="8" w:space="0" w:color="319EE0" w:themeColor="accent2"/>
        <w:bottom w:val="single" w:sz="8" w:space="0" w:color="319EE0" w:themeColor="accent2"/>
        <w:right w:val="single" w:sz="8" w:space="0" w:color="319EE0" w:themeColor="accent2"/>
      </w:tblBorders>
    </w:tblPr>
    <w:tblStylePr w:type="firstRow">
      <w:rPr>
        <w:sz w:val="24"/>
        <w:szCs w:val="24"/>
      </w:rPr>
      <w:tblPr/>
      <w:tcPr>
        <w:tcBorders>
          <w:top w:val="nil"/>
          <w:left w:val="nil"/>
          <w:bottom w:val="single" w:sz="24" w:space="0" w:color="319EE0" w:themeColor="accent2"/>
          <w:right w:val="nil"/>
          <w:insideH w:val="nil"/>
          <w:insideV w:val="nil"/>
        </w:tcBorders>
        <w:shd w:val="clear" w:color="auto" w:fill="FFFFFF" w:themeFill="background1"/>
      </w:tcPr>
    </w:tblStylePr>
    <w:tblStylePr w:type="lastRow">
      <w:tblPr/>
      <w:tcPr>
        <w:tcBorders>
          <w:top w:val="single" w:sz="8" w:space="0" w:color="319EE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19EE0" w:themeColor="accent2"/>
          <w:insideH w:val="nil"/>
          <w:insideV w:val="nil"/>
        </w:tcBorders>
        <w:shd w:val="clear" w:color="auto" w:fill="FFFFFF" w:themeFill="background1"/>
      </w:tcPr>
    </w:tblStylePr>
    <w:tblStylePr w:type="lastCol">
      <w:tblPr/>
      <w:tcPr>
        <w:tcBorders>
          <w:top w:val="nil"/>
          <w:left w:val="single" w:sz="8" w:space="0" w:color="319EE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CE6F7" w:themeFill="accent2" w:themeFillTint="3F"/>
      </w:tcPr>
    </w:tblStylePr>
    <w:tblStylePr w:type="band1Horz">
      <w:tblPr/>
      <w:tcPr>
        <w:tcBorders>
          <w:top w:val="nil"/>
          <w:bottom w:val="nil"/>
          <w:insideH w:val="nil"/>
          <w:insideV w:val="nil"/>
        </w:tcBorders>
        <w:shd w:val="clear" w:color="auto" w:fill="CCE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A39A00" w:themeColor="accent3"/>
        <w:left w:val="single" w:sz="8" w:space="0" w:color="A39A00" w:themeColor="accent3"/>
        <w:bottom w:val="single" w:sz="8" w:space="0" w:color="A39A00" w:themeColor="accent3"/>
        <w:right w:val="single" w:sz="8" w:space="0" w:color="A39A00" w:themeColor="accent3"/>
      </w:tblBorders>
    </w:tblPr>
    <w:tblStylePr w:type="firstRow">
      <w:rPr>
        <w:sz w:val="24"/>
        <w:szCs w:val="24"/>
      </w:rPr>
      <w:tblPr/>
      <w:tcPr>
        <w:tcBorders>
          <w:top w:val="nil"/>
          <w:left w:val="nil"/>
          <w:bottom w:val="single" w:sz="24" w:space="0" w:color="A39A00" w:themeColor="accent3"/>
          <w:right w:val="nil"/>
          <w:insideH w:val="nil"/>
          <w:insideV w:val="nil"/>
        </w:tcBorders>
        <w:shd w:val="clear" w:color="auto" w:fill="FFFFFF" w:themeFill="background1"/>
      </w:tcPr>
    </w:tblStylePr>
    <w:tblStylePr w:type="lastRow">
      <w:tblPr/>
      <w:tcPr>
        <w:tcBorders>
          <w:top w:val="single" w:sz="8" w:space="0" w:color="A39A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9A00" w:themeColor="accent3"/>
          <w:insideH w:val="nil"/>
          <w:insideV w:val="nil"/>
        </w:tcBorders>
        <w:shd w:val="clear" w:color="auto" w:fill="FFFFFF" w:themeFill="background1"/>
      </w:tcPr>
    </w:tblStylePr>
    <w:tblStylePr w:type="lastCol">
      <w:tblPr/>
      <w:tcPr>
        <w:tcBorders>
          <w:top w:val="nil"/>
          <w:left w:val="single" w:sz="8" w:space="0" w:color="A39A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9A9" w:themeFill="accent3" w:themeFillTint="3F"/>
      </w:tcPr>
    </w:tblStylePr>
    <w:tblStylePr w:type="band1Horz">
      <w:tblPr/>
      <w:tcPr>
        <w:tcBorders>
          <w:top w:val="nil"/>
          <w:bottom w:val="nil"/>
          <w:insideH w:val="nil"/>
          <w:insideV w:val="nil"/>
        </w:tcBorders>
        <w:shd w:val="clear" w:color="auto" w:fill="FFF9A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DD6F01" w:themeColor="accent4"/>
        <w:left w:val="single" w:sz="8" w:space="0" w:color="DD6F01" w:themeColor="accent4"/>
        <w:bottom w:val="single" w:sz="8" w:space="0" w:color="DD6F01" w:themeColor="accent4"/>
        <w:right w:val="single" w:sz="8" w:space="0" w:color="DD6F01" w:themeColor="accent4"/>
      </w:tblBorders>
    </w:tblPr>
    <w:tblStylePr w:type="firstRow">
      <w:rPr>
        <w:sz w:val="24"/>
        <w:szCs w:val="24"/>
      </w:rPr>
      <w:tblPr/>
      <w:tcPr>
        <w:tcBorders>
          <w:top w:val="nil"/>
          <w:left w:val="nil"/>
          <w:bottom w:val="single" w:sz="24" w:space="0" w:color="DD6F01" w:themeColor="accent4"/>
          <w:right w:val="nil"/>
          <w:insideH w:val="nil"/>
          <w:insideV w:val="nil"/>
        </w:tcBorders>
        <w:shd w:val="clear" w:color="auto" w:fill="FFFFFF" w:themeFill="background1"/>
      </w:tcPr>
    </w:tblStylePr>
    <w:tblStylePr w:type="lastRow">
      <w:tblPr/>
      <w:tcPr>
        <w:tcBorders>
          <w:top w:val="single" w:sz="8" w:space="0" w:color="DD6F01"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D6F01" w:themeColor="accent4"/>
          <w:insideH w:val="nil"/>
          <w:insideV w:val="nil"/>
        </w:tcBorders>
        <w:shd w:val="clear" w:color="auto" w:fill="FFFFFF" w:themeFill="background1"/>
      </w:tcPr>
    </w:tblStylePr>
    <w:tblStylePr w:type="lastCol">
      <w:tblPr/>
      <w:tcPr>
        <w:tcBorders>
          <w:top w:val="nil"/>
          <w:left w:val="single" w:sz="8" w:space="0" w:color="DD6F01"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BB7" w:themeFill="accent4" w:themeFillTint="3F"/>
      </w:tcPr>
    </w:tblStylePr>
    <w:tblStylePr w:type="band1Horz">
      <w:tblPr/>
      <w:tcPr>
        <w:tcBorders>
          <w:top w:val="nil"/>
          <w:bottom w:val="nil"/>
          <w:insideH w:val="nil"/>
          <w:insideV w:val="nil"/>
        </w:tcBorders>
        <w:shd w:val="clear" w:color="auto" w:fill="FEDBB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F947C" w:themeColor="accent5"/>
        <w:left w:val="single" w:sz="8" w:space="0" w:color="8F947C" w:themeColor="accent5"/>
        <w:bottom w:val="single" w:sz="8" w:space="0" w:color="8F947C" w:themeColor="accent5"/>
        <w:right w:val="single" w:sz="8" w:space="0" w:color="8F947C" w:themeColor="accent5"/>
      </w:tblBorders>
    </w:tblPr>
    <w:tblStylePr w:type="firstRow">
      <w:rPr>
        <w:sz w:val="24"/>
        <w:szCs w:val="24"/>
      </w:rPr>
      <w:tblPr/>
      <w:tcPr>
        <w:tcBorders>
          <w:top w:val="nil"/>
          <w:left w:val="nil"/>
          <w:bottom w:val="single" w:sz="24" w:space="0" w:color="8F947C" w:themeColor="accent5"/>
          <w:right w:val="nil"/>
          <w:insideH w:val="nil"/>
          <w:insideV w:val="nil"/>
        </w:tcBorders>
        <w:shd w:val="clear" w:color="auto" w:fill="FFFFFF" w:themeFill="background1"/>
      </w:tcPr>
    </w:tblStylePr>
    <w:tblStylePr w:type="lastRow">
      <w:tblPr/>
      <w:tcPr>
        <w:tcBorders>
          <w:top w:val="single" w:sz="8" w:space="0" w:color="8F947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F947C" w:themeColor="accent5"/>
          <w:insideH w:val="nil"/>
          <w:insideV w:val="nil"/>
        </w:tcBorders>
        <w:shd w:val="clear" w:color="auto" w:fill="FFFFFF" w:themeFill="background1"/>
      </w:tcPr>
    </w:tblStylePr>
    <w:tblStylePr w:type="lastCol">
      <w:tblPr/>
      <w:tcPr>
        <w:tcBorders>
          <w:top w:val="nil"/>
          <w:left w:val="single" w:sz="8" w:space="0" w:color="8F947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3E4DE" w:themeFill="accent5" w:themeFillTint="3F"/>
      </w:tcPr>
    </w:tblStylePr>
    <w:tblStylePr w:type="band1Horz">
      <w:tblPr/>
      <w:tcPr>
        <w:tcBorders>
          <w:top w:val="nil"/>
          <w:bottom w:val="nil"/>
          <w:insideH w:val="nil"/>
          <w:insideV w:val="nil"/>
        </w:tcBorders>
        <w:shd w:val="clear" w:color="auto" w:fill="E3E4D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C25C71"/>
    <w:pPr>
      <w:spacing w:after="0" w:line="240" w:lineRule="auto"/>
    </w:pPr>
    <w:rPr>
      <w:rFonts w:asciiTheme="majorHAnsi" w:eastAsiaTheme="majorEastAsia" w:hAnsiTheme="majorHAnsi" w:cstheme="majorBidi"/>
      <w:color w:val="C0C0C0" w:themeColor="text1"/>
    </w:rPr>
    <w:tblPr>
      <w:tblStyleRowBandSize w:val="1"/>
      <w:tblStyleColBandSize w:val="1"/>
      <w:tblBorders>
        <w:top w:val="single" w:sz="8" w:space="0" w:color="8D3F7C" w:themeColor="accent6"/>
        <w:left w:val="single" w:sz="8" w:space="0" w:color="8D3F7C" w:themeColor="accent6"/>
        <w:bottom w:val="single" w:sz="8" w:space="0" w:color="8D3F7C" w:themeColor="accent6"/>
        <w:right w:val="single" w:sz="8" w:space="0" w:color="8D3F7C" w:themeColor="accent6"/>
      </w:tblBorders>
    </w:tblPr>
    <w:tblStylePr w:type="firstRow">
      <w:rPr>
        <w:sz w:val="24"/>
        <w:szCs w:val="24"/>
      </w:rPr>
      <w:tblPr/>
      <w:tcPr>
        <w:tcBorders>
          <w:top w:val="nil"/>
          <w:left w:val="nil"/>
          <w:bottom w:val="single" w:sz="24" w:space="0" w:color="8D3F7C" w:themeColor="accent6"/>
          <w:right w:val="nil"/>
          <w:insideH w:val="nil"/>
          <w:insideV w:val="nil"/>
        </w:tcBorders>
        <w:shd w:val="clear" w:color="auto" w:fill="FFFFFF" w:themeFill="background1"/>
      </w:tcPr>
    </w:tblStylePr>
    <w:tblStylePr w:type="lastRow">
      <w:tblPr/>
      <w:tcPr>
        <w:tcBorders>
          <w:top w:val="single" w:sz="8" w:space="0" w:color="8D3F7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D3F7C" w:themeColor="accent6"/>
          <w:insideH w:val="nil"/>
          <w:insideV w:val="nil"/>
        </w:tcBorders>
        <w:shd w:val="clear" w:color="auto" w:fill="FFFFFF" w:themeFill="background1"/>
      </w:tcPr>
    </w:tblStylePr>
    <w:tblStylePr w:type="lastCol">
      <w:tblPr/>
      <w:tcPr>
        <w:tcBorders>
          <w:top w:val="nil"/>
          <w:left w:val="single" w:sz="8" w:space="0" w:color="8D3F7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CAE1" w:themeFill="accent6" w:themeFillTint="3F"/>
      </w:tcPr>
    </w:tblStylePr>
    <w:tblStylePr w:type="band1Horz">
      <w:tblPr/>
      <w:tcPr>
        <w:tcBorders>
          <w:top w:val="nil"/>
          <w:bottom w:val="nil"/>
          <w:insideH w:val="nil"/>
          <w:insideV w:val="nil"/>
        </w:tcBorders>
        <w:shd w:val="clear" w:color="auto" w:fill="E7CAE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99"/>
    <w:semiHidden/>
    <w:rsid w:val="00C25C71"/>
    <w:pPr>
      <w:spacing w:after="0" w:line="240" w:lineRule="auto"/>
    </w:pPr>
    <w:tblPr>
      <w:tblStyleRowBandSize w:val="1"/>
      <w:tblStyleColBandSize w:val="1"/>
      <w:tbl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single" w:sz="8" w:space="0" w:color="CFCFCF" w:themeColor="text1" w:themeTint="BF"/>
      </w:tblBorders>
    </w:tblPr>
    <w:tblStylePr w:type="firstRow">
      <w:pPr>
        <w:spacing w:before="0" w:after="0" w:line="240" w:lineRule="auto"/>
      </w:pPr>
      <w:rPr>
        <w:b/>
        <w:bCs/>
        <w:color w:val="FFFFFF" w:themeColor="background1"/>
      </w:rPr>
      <w:tblPr/>
      <w:tcPr>
        <w:tcBorders>
          <w:top w:val="single" w:sz="8"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shd w:val="clear" w:color="auto" w:fill="C0C0C0" w:themeFill="text1"/>
      </w:tcPr>
    </w:tblStylePr>
    <w:tblStylePr w:type="lastRow">
      <w:pPr>
        <w:spacing w:before="0" w:after="0" w:line="240" w:lineRule="auto"/>
      </w:pPr>
      <w:rPr>
        <w:b/>
        <w:bCs/>
      </w:rPr>
      <w:tblPr/>
      <w:tcPr>
        <w:tcBorders>
          <w:top w:val="double" w:sz="6" w:space="0" w:color="CFCFCF" w:themeColor="text1" w:themeTint="BF"/>
          <w:left w:val="single" w:sz="8" w:space="0" w:color="CFCFCF" w:themeColor="text1" w:themeTint="BF"/>
          <w:bottom w:val="single" w:sz="8" w:space="0" w:color="CFCFCF" w:themeColor="text1" w:themeTint="BF"/>
          <w:right w:val="single" w:sz="8" w:space="0" w:color="CFCFCF" w:themeColor="text1" w:themeTint="BF"/>
          <w:insideH w:val="nil"/>
          <w:insideV w:val="nil"/>
        </w:tcBorders>
      </w:tcPr>
    </w:tblStylePr>
    <w:tblStylePr w:type="firstCol">
      <w:rPr>
        <w:b/>
        <w:bCs/>
      </w:rPr>
    </w:tblStylePr>
    <w:tblStylePr w:type="lastCol">
      <w:rPr>
        <w:b/>
        <w:bCs/>
      </w:rPr>
    </w:tblStylePr>
    <w:tblStylePr w:type="band1Vert">
      <w:tblPr/>
      <w:tcPr>
        <w:shd w:val="clear" w:color="auto" w:fill="EFEFEF" w:themeFill="text1" w:themeFillTint="3F"/>
      </w:tcPr>
    </w:tblStylePr>
    <w:tblStylePr w:type="band1Horz">
      <w:tblPr/>
      <w:tcPr>
        <w:tcBorders>
          <w:insideH w:val="nil"/>
          <w:insideV w:val="nil"/>
        </w:tcBorders>
        <w:shd w:val="clear" w:color="auto" w:fill="EFEFEF"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99"/>
    <w:semiHidden/>
    <w:rsid w:val="00C25C71"/>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C25C71"/>
    <w:pPr>
      <w:spacing w:after="0" w:line="240" w:lineRule="auto"/>
    </w:pPr>
    <w:tblPr>
      <w:tblStyleRowBandSize w:val="1"/>
      <w:tblStyleColBandSize w:val="1"/>
      <w:tbl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single" w:sz="8" w:space="0" w:color="64B5E7" w:themeColor="accent2" w:themeTint="BF"/>
      </w:tblBorders>
    </w:tblPr>
    <w:tblStylePr w:type="firstRow">
      <w:pPr>
        <w:spacing w:before="0" w:after="0" w:line="240" w:lineRule="auto"/>
      </w:pPr>
      <w:rPr>
        <w:b/>
        <w:bCs/>
        <w:color w:val="FFFFFF" w:themeColor="background1"/>
      </w:rPr>
      <w:tblPr/>
      <w:tcPr>
        <w:tcBorders>
          <w:top w:val="single" w:sz="8"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shd w:val="clear" w:color="auto" w:fill="319EE0" w:themeFill="accent2"/>
      </w:tcPr>
    </w:tblStylePr>
    <w:tblStylePr w:type="lastRow">
      <w:pPr>
        <w:spacing w:before="0" w:after="0" w:line="240" w:lineRule="auto"/>
      </w:pPr>
      <w:rPr>
        <w:b/>
        <w:bCs/>
      </w:rPr>
      <w:tblPr/>
      <w:tcPr>
        <w:tcBorders>
          <w:top w:val="double" w:sz="6" w:space="0" w:color="64B5E7" w:themeColor="accent2" w:themeTint="BF"/>
          <w:left w:val="single" w:sz="8" w:space="0" w:color="64B5E7" w:themeColor="accent2" w:themeTint="BF"/>
          <w:bottom w:val="single" w:sz="8" w:space="0" w:color="64B5E7" w:themeColor="accent2" w:themeTint="BF"/>
          <w:right w:val="single" w:sz="8" w:space="0" w:color="64B5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CCE6F7" w:themeFill="accent2" w:themeFillTint="3F"/>
      </w:tcPr>
    </w:tblStylePr>
    <w:tblStylePr w:type="band1Horz">
      <w:tblPr/>
      <w:tcPr>
        <w:tcBorders>
          <w:insideH w:val="nil"/>
          <w:insideV w:val="nil"/>
        </w:tcBorders>
        <w:shd w:val="clear" w:color="auto" w:fill="CCE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C25C71"/>
    <w:pPr>
      <w:spacing w:after="0" w:line="240" w:lineRule="auto"/>
    </w:pPr>
    <w:tblPr>
      <w:tblStyleRowBandSize w:val="1"/>
      <w:tblStyleColBandSize w:val="1"/>
      <w:tbl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single" w:sz="8" w:space="0" w:color="FAEB00" w:themeColor="accent3" w:themeTint="BF"/>
      </w:tblBorders>
    </w:tblPr>
    <w:tblStylePr w:type="firstRow">
      <w:pPr>
        <w:spacing w:before="0" w:after="0" w:line="240" w:lineRule="auto"/>
      </w:pPr>
      <w:rPr>
        <w:b/>
        <w:bCs/>
        <w:color w:val="FFFFFF" w:themeColor="background1"/>
      </w:rPr>
      <w:tblPr/>
      <w:tcPr>
        <w:tcBorders>
          <w:top w:val="single" w:sz="8"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shd w:val="clear" w:color="auto" w:fill="A39A00" w:themeFill="accent3"/>
      </w:tcPr>
    </w:tblStylePr>
    <w:tblStylePr w:type="lastRow">
      <w:pPr>
        <w:spacing w:before="0" w:after="0" w:line="240" w:lineRule="auto"/>
      </w:pPr>
      <w:rPr>
        <w:b/>
        <w:bCs/>
      </w:rPr>
      <w:tblPr/>
      <w:tcPr>
        <w:tcBorders>
          <w:top w:val="double" w:sz="6" w:space="0" w:color="FAEB00" w:themeColor="accent3" w:themeTint="BF"/>
          <w:left w:val="single" w:sz="8" w:space="0" w:color="FAEB00" w:themeColor="accent3" w:themeTint="BF"/>
          <w:bottom w:val="single" w:sz="8" w:space="0" w:color="FAEB00" w:themeColor="accent3" w:themeTint="BF"/>
          <w:right w:val="single" w:sz="8" w:space="0" w:color="FAEB0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F9A9" w:themeFill="accent3" w:themeFillTint="3F"/>
      </w:tcPr>
    </w:tblStylePr>
    <w:tblStylePr w:type="band1Horz">
      <w:tblPr/>
      <w:tcPr>
        <w:tcBorders>
          <w:insideH w:val="nil"/>
          <w:insideV w:val="nil"/>
        </w:tcBorders>
        <w:shd w:val="clear" w:color="auto" w:fill="FFF9A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C25C71"/>
    <w:pPr>
      <w:spacing w:after="0" w:line="240" w:lineRule="auto"/>
    </w:pPr>
    <w:tblPr>
      <w:tblStyleRowBandSize w:val="1"/>
      <w:tblStyleColBandSize w:val="1"/>
      <w:tbl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single" w:sz="8" w:space="0" w:color="FE9227" w:themeColor="accent4" w:themeTint="BF"/>
      </w:tblBorders>
    </w:tblPr>
    <w:tblStylePr w:type="firstRow">
      <w:pPr>
        <w:spacing w:before="0" w:after="0" w:line="240" w:lineRule="auto"/>
      </w:pPr>
      <w:rPr>
        <w:b/>
        <w:bCs/>
        <w:color w:val="FFFFFF" w:themeColor="background1"/>
      </w:rPr>
      <w:tblPr/>
      <w:tcPr>
        <w:tcBorders>
          <w:top w:val="single" w:sz="8"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shd w:val="clear" w:color="auto" w:fill="DD6F01" w:themeFill="accent4"/>
      </w:tcPr>
    </w:tblStylePr>
    <w:tblStylePr w:type="lastRow">
      <w:pPr>
        <w:spacing w:before="0" w:after="0" w:line="240" w:lineRule="auto"/>
      </w:pPr>
      <w:rPr>
        <w:b/>
        <w:bCs/>
      </w:rPr>
      <w:tblPr/>
      <w:tcPr>
        <w:tcBorders>
          <w:top w:val="double" w:sz="6" w:space="0" w:color="FE9227" w:themeColor="accent4" w:themeTint="BF"/>
          <w:left w:val="single" w:sz="8" w:space="0" w:color="FE9227" w:themeColor="accent4" w:themeTint="BF"/>
          <w:bottom w:val="single" w:sz="8" w:space="0" w:color="FE9227" w:themeColor="accent4" w:themeTint="BF"/>
          <w:right w:val="single" w:sz="8" w:space="0" w:color="FE9227"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DBB7" w:themeFill="accent4" w:themeFillTint="3F"/>
      </w:tcPr>
    </w:tblStylePr>
    <w:tblStylePr w:type="band1Horz">
      <w:tblPr/>
      <w:tcPr>
        <w:tcBorders>
          <w:insideH w:val="nil"/>
          <w:insideV w:val="nil"/>
        </w:tcBorders>
        <w:shd w:val="clear" w:color="auto" w:fill="FEDBB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C25C71"/>
    <w:pPr>
      <w:spacing w:after="0" w:line="240" w:lineRule="auto"/>
    </w:pPr>
    <w:tblPr>
      <w:tblStyleRowBandSize w:val="1"/>
      <w:tblStyleColBandSize w:val="1"/>
      <w:tbl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single" w:sz="8" w:space="0" w:color="ABAE9C" w:themeColor="accent5" w:themeTint="BF"/>
      </w:tblBorders>
    </w:tblPr>
    <w:tblStylePr w:type="firstRow">
      <w:pPr>
        <w:spacing w:before="0" w:after="0" w:line="240" w:lineRule="auto"/>
      </w:pPr>
      <w:rPr>
        <w:b/>
        <w:bCs/>
        <w:color w:val="FFFFFF" w:themeColor="background1"/>
      </w:rPr>
      <w:tblPr/>
      <w:tcPr>
        <w:tcBorders>
          <w:top w:val="single" w:sz="8"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shd w:val="clear" w:color="auto" w:fill="8F947C" w:themeFill="accent5"/>
      </w:tcPr>
    </w:tblStylePr>
    <w:tblStylePr w:type="lastRow">
      <w:pPr>
        <w:spacing w:before="0" w:after="0" w:line="240" w:lineRule="auto"/>
      </w:pPr>
      <w:rPr>
        <w:b/>
        <w:bCs/>
      </w:rPr>
      <w:tblPr/>
      <w:tcPr>
        <w:tcBorders>
          <w:top w:val="double" w:sz="6" w:space="0" w:color="ABAE9C" w:themeColor="accent5" w:themeTint="BF"/>
          <w:left w:val="single" w:sz="8" w:space="0" w:color="ABAE9C" w:themeColor="accent5" w:themeTint="BF"/>
          <w:bottom w:val="single" w:sz="8" w:space="0" w:color="ABAE9C" w:themeColor="accent5" w:themeTint="BF"/>
          <w:right w:val="single" w:sz="8" w:space="0" w:color="ABAE9C" w:themeColor="accent5" w:themeTint="BF"/>
          <w:insideH w:val="nil"/>
          <w:insideV w:val="nil"/>
        </w:tcBorders>
      </w:tcPr>
    </w:tblStylePr>
    <w:tblStylePr w:type="firstCol">
      <w:rPr>
        <w:b/>
        <w:bCs/>
      </w:rPr>
    </w:tblStylePr>
    <w:tblStylePr w:type="lastCol">
      <w:rPr>
        <w:b/>
        <w:bCs/>
      </w:rPr>
    </w:tblStylePr>
    <w:tblStylePr w:type="band1Vert">
      <w:tblPr/>
      <w:tcPr>
        <w:shd w:val="clear" w:color="auto" w:fill="E3E4DE" w:themeFill="accent5" w:themeFillTint="3F"/>
      </w:tcPr>
    </w:tblStylePr>
    <w:tblStylePr w:type="band1Horz">
      <w:tblPr/>
      <w:tcPr>
        <w:tcBorders>
          <w:insideH w:val="nil"/>
          <w:insideV w:val="nil"/>
        </w:tcBorders>
        <w:shd w:val="clear" w:color="auto" w:fill="E3E4DE"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C25C71"/>
    <w:pPr>
      <w:spacing w:after="0" w:line="240" w:lineRule="auto"/>
    </w:pPr>
    <w:tblPr>
      <w:tblStyleRowBandSize w:val="1"/>
      <w:tblStyleColBandSize w:val="1"/>
      <w:tbl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single" w:sz="8" w:space="0" w:color="B860A5" w:themeColor="accent6" w:themeTint="BF"/>
      </w:tblBorders>
    </w:tblPr>
    <w:tblStylePr w:type="firstRow">
      <w:pPr>
        <w:spacing w:before="0" w:after="0" w:line="240" w:lineRule="auto"/>
      </w:pPr>
      <w:rPr>
        <w:b/>
        <w:bCs/>
        <w:color w:val="FFFFFF" w:themeColor="background1"/>
      </w:rPr>
      <w:tblPr/>
      <w:tcPr>
        <w:tcBorders>
          <w:top w:val="single" w:sz="8"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shd w:val="clear" w:color="auto" w:fill="8D3F7C" w:themeFill="accent6"/>
      </w:tcPr>
    </w:tblStylePr>
    <w:tblStylePr w:type="lastRow">
      <w:pPr>
        <w:spacing w:before="0" w:after="0" w:line="240" w:lineRule="auto"/>
      </w:pPr>
      <w:rPr>
        <w:b/>
        <w:bCs/>
      </w:rPr>
      <w:tblPr/>
      <w:tcPr>
        <w:tcBorders>
          <w:top w:val="double" w:sz="6" w:space="0" w:color="B860A5" w:themeColor="accent6" w:themeTint="BF"/>
          <w:left w:val="single" w:sz="8" w:space="0" w:color="B860A5" w:themeColor="accent6" w:themeTint="BF"/>
          <w:bottom w:val="single" w:sz="8" w:space="0" w:color="B860A5" w:themeColor="accent6" w:themeTint="BF"/>
          <w:right w:val="single" w:sz="8" w:space="0" w:color="B860A5" w:themeColor="accent6" w:themeTint="BF"/>
          <w:insideH w:val="nil"/>
          <w:insideV w:val="nil"/>
        </w:tcBorders>
      </w:tcPr>
    </w:tblStylePr>
    <w:tblStylePr w:type="firstCol">
      <w:rPr>
        <w:b/>
        <w:bCs/>
      </w:rPr>
    </w:tblStylePr>
    <w:tblStylePr w:type="lastCol">
      <w:rPr>
        <w:b/>
        <w:bCs/>
      </w:rPr>
    </w:tblStylePr>
    <w:tblStylePr w:type="band1Vert">
      <w:tblPr/>
      <w:tcPr>
        <w:shd w:val="clear" w:color="auto" w:fill="E7CAE1" w:themeFill="accent6" w:themeFillTint="3F"/>
      </w:tcPr>
    </w:tblStylePr>
    <w:tblStylePr w:type="band1Horz">
      <w:tblPr/>
      <w:tcPr>
        <w:tcBorders>
          <w:insideH w:val="nil"/>
          <w:insideV w:val="nil"/>
        </w:tcBorders>
        <w:shd w:val="clear" w:color="auto" w:fill="E7CAE1"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C0C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C0C0" w:themeFill="text1"/>
      </w:tcPr>
    </w:tblStylePr>
    <w:tblStylePr w:type="lastCol">
      <w:rPr>
        <w:b/>
        <w:bCs/>
        <w:color w:val="FFFFFF" w:themeColor="background1"/>
      </w:rPr>
      <w:tblPr/>
      <w:tcPr>
        <w:tcBorders>
          <w:left w:val="nil"/>
          <w:right w:val="nil"/>
          <w:insideH w:val="nil"/>
          <w:insideV w:val="nil"/>
        </w:tcBorders>
        <w:shd w:val="clear" w:color="auto" w:fill="C0C0C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213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2131" w:themeFill="accent1"/>
      </w:tcPr>
    </w:tblStylePr>
    <w:tblStylePr w:type="lastCol">
      <w:rPr>
        <w:b/>
        <w:bCs/>
        <w:color w:val="FFFFFF" w:themeColor="background1"/>
      </w:rPr>
      <w:tblPr/>
      <w:tcPr>
        <w:tcBorders>
          <w:left w:val="nil"/>
          <w:right w:val="nil"/>
          <w:insideH w:val="nil"/>
          <w:insideV w:val="nil"/>
        </w:tcBorders>
        <w:shd w:val="clear" w:color="auto" w:fill="CC213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19EE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19EE0" w:themeFill="accent2"/>
      </w:tcPr>
    </w:tblStylePr>
    <w:tblStylePr w:type="lastCol">
      <w:rPr>
        <w:b/>
        <w:bCs/>
        <w:color w:val="FFFFFF" w:themeColor="background1"/>
      </w:rPr>
      <w:tblPr/>
      <w:tcPr>
        <w:tcBorders>
          <w:left w:val="nil"/>
          <w:right w:val="nil"/>
          <w:insideH w:val="nil"/>
          <w:insideV w:val="nil"/>
        </w:tcBorders>
        <w:shd w:val="clear" w:color="auto" w:fill="319EE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9A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9A00" w:themeFill="accent3"/>
      </w:tcPr>
    </w:tblStylePr>
    <w:tblStylePr w:type="lastCol">
      <w:rPr>
        <w:b/>
        <w:bCs/>
        <w:color w:val="FFFFFF" w:themeColor="background1"/>
      </w:rPr>
      <w:tblPr/>
      <w:tcPr>
        <w:tcBorders>
          <w:left w:val="nil"/>
          <w:right w:val="nil"/>
          <w:insideH w:val="nil"/>
          <w:insideV w:val="nil"/>
        </w:tcBorders>
        <w:shd w:val="clear" w:color="auto" w:fill="A39A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D6F01"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D6F01" w:themeFill="accent4"/>
      </w:tcPr>
    </w:tblStylePr>
    <w:tblStylePr w:type="lastCol">
      <w:rPr>
        <w:b/>
        <w:bCs/>
        <w:color w:val="FFFFFF" w:themeColor="background1"/>
      </w:rPr>
      <w:tblPr/>
      <w:tcPr>
        <w:tcBorders>
          <w:left w:val="nil"/>
          <w:right w:val="nil"/>
          <w:insideH w:val="nil"/>
          <w:insideV w:val="nil"/>
        </w:tcBorders>
        <w:shd w:val="clear" w:color="auto" w:fill="DD6F01"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F947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F947C" w:themeFill="accent5"/>
      </w:tcPr>
    </w:tblStylePr>
    <w:tblStylePr w:type="lastCol">
      <w:rPr>
        <w:b/>
        <w:bCs/>
        <w:color w:val="FFFFFF" w:themeColor="background1"/>
      </w:rPr>
      <w:tblPr/>
      <w:tcPr>
        <w:tcBorders>
          <w:left w:val="nil"/>
          <w:right w:val="nil"/>
          <w:insideH w:val="nil"/>
          <w:insideV w:val="nil"/>
        </w:tcBorders>
        <w:shd w:val="clear" w:color="auto" w:fill="8F947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C25C7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D3F7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D3F7C" w:themeFill="accent6"/>
      </w:tcPr>
    </w:tblStylePr>
    <w:tblStylePr w:type="lastCol">
      <w:rPr>
        <w:b/>
        <w:bCs/>
        <w:color w:val="FFFFFF" w:themeColor="background1"/>
      </w:rPr>
      <w:tblPr/>
      <w:tcPr>
        <w:tcBorders>
          <w:left w:val="nil"/>
          <w:right w:val="nil"/>
          <w:insideH w:val="nil"/>
          <w:insideV w:val="nil"/>
        </w:tcBorders>
        <w:shd w:val="clear" w:color="auto" w:fill="8D3F7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C25C71"/>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25C71"/>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25C71"/>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25C71"/>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25C71"/>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25C71"/>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25C71"/>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25C71"/>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25C71"/>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25C71"/>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25C71"/>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25C71"/>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25C71"/>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25C71"/>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25C71"/>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25C71"/>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C25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25C71"/>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25C71"/>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25C71"/>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25C71"/>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25C71"/>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25C71"/>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25C71"/>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25C71"/>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25C71"/>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25C71"/>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25C71"/>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C25C7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25C71"/>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25C71"/>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1">
    <w:name w:val="Table Subtle 1"/>
    <w:basedOn w:val="TableNormal"/>
    <w:uiPriority w:val="99"/>
    <w:semiHidden/>
    <w:unhideWhenUsed/>
    <w:rsid w:val="00C25C71"/>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25C71"/>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25C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25C71"/>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25C7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25C7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4">
    <w:name w:val="toc 4"/>
    <w:basedOn w:val="Normal"/>
    <w:next w:val="Normal"/>
    <w:autoRedefine/>
    <w:uiPriority w:val="39"/>
    <w:rsid w:val="00C25C71"/>
    <w:pPr>
      <w:spacing w:after="100"/>
      <w:ind w:left="600"/>
    </w:pPr>
  </w:style>
  <w:style w:type="paragraph" w:styleId="TOC5">
    <w:name w:val="toc 5"/>
    <w:basedOn w:val="Normal"/>
    <w:next w:val="Normal"/>
    <w:autoRedefine/>
    <w:uiPriority w:val="39"/>
    <w:rsid w:val="00C25C71"/>
    <w:pPr>
      <w:spacing w:after="100"/>
      <w:ind w:left="800"/>
    </w:pPr>
  </w:style>
  <w:style w:type="paragraph" w:styleId="TOC6">
    <w:name w:val="toc 6"/>
    <w:basedOn w:val="Normal"/>
    <w:next w:val="Normal"/>
    <w:autoRedefine/>
    <w:uiPriority w:val="99"/>
    <w:semiHidden/>
    <w:rsid w:val="00C25C71"/>
    <w:pPr>
      <w:spacing w:after="100"/>
      <w:ind w:left="1000"/>
    </w:pPr>
  </w:style>
  <w:style w:type="paragraph" w:styleId="TOC7">
    <w:name w:val="toc 7"/>
    <w:basedOn w:val="Normal"/>
    <w:next w:val="Normal"/>
    <w:autoRedefine/>
    <w:uiPriority w:val="99"/>
    <w:semiHidden/>
    <w:rsid w:val="00C25C71"/>
    <w:pPr>
      <w:spacing w:after="100"/>
      <w:ind w:left="1200"/>
    </w:pPr>
  </w:style>
  <w:style w:type="paragraph" w:styleId="TOC8">
    <w:name w:val="toc 8"/>
    <w:basedOn w:val="Normal"/>
    <w:next w:val="Normal"/>
    <w:autoRedefine/>
    <w:uiPriority w:val="99"/>
    <w:semiHidden/>
    <w:rsid w:val="00C25C71"/>
    <w:pPr>
      <w:spacing w:after="100"/>
      <w:ind w:left="1400"/>
    </w:pPr>
  </w:style>
  <w:style w:type="paragraph" w:styleId="TOC9">
    <w:name w:val="toc 9"/>
    <w:basedOn w:val="Normal"/>
    <w:next w:val="Normal"/>
    <w:autoRedefine/>
    <w:uiPriority w:val="99"/>
    <w:semiHidden/>
    <w:rsid w:val="00C25C71"/>
    <w:pPr>
      <w:spacing w:after="100"/>
      <w:ind w:left="1600"/>
    </w:pPr>
  </w:style>
  <w:style w:type="paragraph" w:customStyle="1" w:styleId="Body8">
    <w:name w:val="Body 8"/>
    <w:basedOn w:val="BodyText"/>
    <w:link w:val="Body8Char"/>
    <w:uiPriority w:val="16"/>
    <w:unhideWhenUsed/>
    <w:rsid w:val="003E0D28"/>
    <w:pPr>
      <w:ind w:left="709"/>
    </w:pPr>
  </w:style>
  <w:style w:type="character" w:customStyle="1" w:styleId="Body8Char">
    <w:name w:val="Body 8 Char"/>
    <w:basedOn w:val="BodyTextChar"/>
    <w:link w:val="Body8"/>
    <w:uiPriority w:val="99"/>
    <w:semiHidden/>
    <w:rsid w:val="003E0D28"/>
    <w:rPr>
      <w:lang w:val="en-GB"/>
    </w:rPr>
  </w:style>
  <w:style w:type="paragraph" w:customStyle="1" w:styleId="TableSpacing">
    <w:name w:val="Table Spacing"/>
    <w:basedOn w:val="Normal"/>
    <w:uiPriority w:val="99"/>
    <w:semiHidden/>
    <w:rsid w:val="00925F2F"/>
    <w:pPr>
      <w:spacing w:before="120" w:after="120"/>
      <w:jc w:val="left"/>
    </w:pPr>
    <w:rPr>
      <w:rFonts w:eastAsia="Calibri" w:cs="Times New Roman"/>
      <w:szCs w:val="24"/>
      <w:lang w:val="en-US"/>
    </w:rPr>
  </w:style>
  <w:style w:type="paragraph" w:customStyle="1" w:styleId="CERNORMAL">
    <w:name w:val="CER NORMAL"/>
    <w:rsid w:val="009A486F"/>
    <w:pPr>
      <w:tabs>
        <w:tab w:val="num" w:pos="851"/>
      </w:tabs>
      <w:spacing w:before="120" w:after="120" w:line="240" w:lineRule="auto"/>
      <w:ind w:left="851"/>
      <w:jc w:val="left"/>
    </w:pPr>
    <w:rPr>
      <w:rFonts w:eastAsia="Times New Roman" w:cs="Times New Roman"/>
      <w:color w:val="000000"/>
      <w:sz w:val="22"/>
      <w:lang w:val="en-GB"/>
    </w:rPr>
  </w:style>
  <w:style w:type="paragraph" w:customStyle="1" w:styleId="CERGlossaryDefinition">
    <w:name w:val="CER Glossary Definition"/>
    <w:basedOn w:val="CERGlossaryTerm"/>
    <w:rsid w:val="009A486F"/>
    <w:pPr>
      <w:jc w:val="both"/>
    </w:pPr>
    <w:rPr>
      <w:b w:val="0"/>
    </w:rPr>
  </w:style>
  <w:style w:type="paragraph" w:customStyle="1" w:styleId="CERGlossaryTerm">
    <w:name w:val="CER Glossary Term"/>
    <w:basedOn w:val="Normal"/>
    <w:rsid w:val="009A486F"/>
    <w:pPr>
      <w:tabs>
        <w:tab w:val="num" w:pos="851"/>
      </w:tabs>
      <w:spacing w:before="120" w:after="120" w:line="240" w:lineRule="auto"/>
      <w:jc w:val="left"/>
    </w:pPr>
    <w:rPr>
      <w:rFonts w:eastAsia="Times New Roman" w:cs="Times New Roman"/>
      <w:b/>
    </w:rPr>
  </w:style>
  <w:style w:type="paragraph" w:customStyle="1" w:styleId="CERHEADING2">
    <w:name w:val="CER HEADING 2"/>
    <w:next w:val="Normal"/>
    <w:rsid w:val="009A486F"/>
    <w:pPr>
      <w:keepNext/>
      <w:tabs>
        <w:tab w:val="left" w:pos="936"/>
      </w:tabs>
      <w:spacing w:before="240" w:after="120" w:line="240" w:lineRule="auto"/>
      <w:ind w:left="851"/>
      <w:jc w:val="left"/>
    </w:pPr>
    <w:rPr>
      <w:rFonts w:eastAsia="Times New Roman" w:cs="Times New Roman"/>
      <w:b/>
      <w:caps/>
      <w:sz w:val="24"/>
      <w:lang w:val="en-GB"/>
    </w:rPr>
  </w:style>
  <w:style w:type="paragraph" w:styleId="Revision">
    <w:name w:val="Revision"/>
    <w:hidden/>
    <w:uiPriority w:val="99"/>
    <w:semiHidden/>
    <w:rsid w:val="00201F83"/>
    <w:pPr>
      <w:spacing w:after="0" w:line="240" w:lineRule="auto"/>
      <w:jc w:val="left"/>
    </w:pPr>
    <w:rPr>
      <w:rFonts w:cs="Arial"/>
      <w:lang w:val="en-GB"/>
    </w:rPr>
  </w:style>
  <w:style w:type="paragraph" w:customStyle="1" w:styleId="CERLEVEL1">
    <w:name w:val="CER LEVEL 1"/>
    <w:basedOn w:val="Normal"/>
    <w:next w:val="CERLEVEL2"/>
    <w:qFormat/>
    <w:rsid w:val="00AB2B2C"/>
    <w:pPr>
      <w:keepNext/>
      <w:numPr>
        <w:numId w:val="51"/>
      </w:numPr>
      <w:spacing w:before="240" w:after="120" w:line="240" w:lineRule="auto"/>
      <w:outlineLvl w:val="1"/>
    </w:pPr>
    <w:rPr>
      <w:rFonts w:eastAsia="Times New Roman" w:cs="Times New Roman"/>
      <w:b/>
      <w:caps/>
      <w:sz w:val="28"/>
      <w:szCs w:val="22"/>
    </w:rPr>
  </w:style>
  <w:style w:type="paragraph" w:customStyle="1" w:styleId="CERLEVEL2">
    <w:name w:val="CER LEVEL 2"/>
    <w:basedOn w:val="Normal"/>
    <w:qFormat/>
    <w:rsid w:val="00AB2B2C"/>
    <w:pPr>
      <w:keepNext/>
      <w:numPr>
        <w:ilvl w:val="1"/>
        <w:numId w:val="51"/>
      </w:numPr>
      <w:spacing w:before="240" w:after="120" w:line="240" w:lineRule="auto"/>
      <w:outlineLvl w:val="2"/>
    </w:pPr>
    <w:rPr>
      <w:rFonts w:eastAsia="Times New Roman" w:cs="Times New Roman"/>
      <w:b/>
      <w:sz w:val="22"/>
      <w:szCs w:val="22"/>
      <w:lang w:val="en-US"/>
    </w:rPr>
  </w:style>
  <w:style w:type="paragraph" w:customStyle="1" w:styleId="CERLEVEL3">
    <w:name w:val="CER LEVEL 3"/>
    <w:basedOn w:val="Normal"/>
    <w:qFormat/>
    <w:rsid w:val="00AB2B2C"/>
    <w:pPr>
      <w:keepNext/>
      <w:numPr>
        <w:ilvl w:val="2"/>
        <w:numId w:val="51"/>
      </w:numPr>
      <w:spacing w:before="120" w:after="120" w:line="240" w:lineRule="auto"/>
      <w:outlineLvl w:val="3"/>
    </w:pPr>
    <w:rPr>
      <w:rFonts w:eastAsia="Times New Roman" w:cs="Times New Roman"/>
      <w:sz w:val="22"/>
      <w:szCs w:val="22"/>
    </w:rPr>
  </w:style>
  <w:style w:type="paragraph" w:customStyle="1" w:styleId="CERLEVEL4">
    <w:name w:val="CER LEVEL 4"/>
    <w:basedOn w:val="Normal"/>
    <w:next w:val="CERLEVEL5"/>
    <w:link w:val="CERLEVEL4Char"/>
    <w:qFormat/>
    <w:rsid w:val="00AB2B2C"/>
    <w:pPr>
      <w:keepNext/>
      <w:numPr>
        <w:ilvl w:val="3"/>
        <w:numId w:val="51"/>
      </w:numPr>
      <w:spacing w:before="120" w:after="120" w:line="240" w:lineRule="auto"/>
    </w:pPr>
    <w:rPr>
      <w:rFonts w:eastAsia="Times New Roman" w:cs="Times New Roman"/>
      <w:sz w:val="22"/>
      <w:szCs w:val="22"/>
    </w:rPr>
  </w:style>
  <w:style w:type="paragraph" w:customStyle="1" w:styleId="CERLEVEL5">
    <w:name w:val="CER LEVEL 5"/>
    <w:basedOn w:val="Normal"/>
    <w:link w:val="CERLEVEL5Char"/>
    <w:qFormat/>
    <w:rsid w:val="00AB2B2C"/>
    <w:pPr>
      <w:numPr>
        <w:ilvl w:val="4"/>
        <w:numId w:val="51"/>
      </w:numPr>
      <w:spacing w:before="120" w:after="120" w:line="240" w:lineRule="auto"/>
    </w:pPr>
    <w:rPr>
      <w:rFonts w:eastAsia="Times New Roman" w:cs="Times New Roman"/>
      <w:sz w:val="22"/>
      <w:szCs w:val="22"/>
    </w:rPr>
  </w:style>
  <w:style w:type="paragraph" w:customStyle="1" w:styleId="CERLEVEL6">
    <w:name w:val="CER LEVEL 6"/>
    <w:basedOn w:val="Normal"/>
    <w:qFormat/>
    <w:rsid w:val="00AB2B2C"/>
    <w:pPr>
      <w:numPr>
        <w:ilvl w:val="5"/>
        <w:numId w:val="51"/>
      </w:numPr>
      <w:spacing w:before="120" w:after="120" w:line="240" w:lineRule="auto"/>
    </w:pPr>
    <w:rPr>
      <w:rFonts w:eastAsia="Times New Roman" w:cs="Times New Roman"/>
      <w:sz w:val="22"/>
      <w:szCs w:val="22"/>
      <w:lang w:val="en-US"/>
    </w:rPr>
  </w:style>
  <w:style w:type="paragraph" w:customStyle="1" w:styleId="Default">
    <w:name w:val="Default"/>
    <w:rsid w:val="00484A03"/>
    <w:pPr>
      <w:autoSpaceDE w:val="0"/>
      <w:autoSpaceDN w:val="0"/>
      <w:adjustRightInd w:val="0"/>
      <w:spacing w:after="0" w:line="240" w:lineRule="auto"/>
      <w:jc w:val="left"/>
    </w:pPr>
    <w:rPr>
      <w:rFonts w:ascii="EUAlbertina" w:hAnsi="EUAlbertina" w:cs="EUAlbertina"/>
      <w:color w:val="000000"/>
      <w:sz w:val="24"/>
      <w:szCs w:val="24"/>
      <w:lang w:val="en-IE"/>
    </w:rPr>
  </w:style>
  <w:style w:type="paragraph" w:customStyle="1" w:styleId="CERLEVEL7">
    <w:name w:val="CER LEVEL 7"/>
    <w:basedOn w:val="Normal"/>
    <w:qFormat/>
    <w:rsid w:val="007C12C5"/>
    <w:pPr>
      <w:spacing w:before="120" w:after="120" w:line="240" w:lineRule="auto"/>
      <w:ind w:left="2552" w:hanging="426"/>
    </w:pPr>
    <w:rPr>
      <w:rFonts w:eastAsia="Times New Roman" w:cs="Times New Roman"/>
      <w:sz w:val="22"/>
      <w:szCs w:val="22"/>
      <w:lang w:val="en-US"/>
    </w:rPr>
  </w:style>
  <w:style w:type="table" w:customStyle="1" w:styleId="PlainEnglishStyle">
    <w:name w:val="Plain English Style"/>
    <w:basedOn w:val="MediumShading1-Accent1"/>
    <w:uiPriority w:val="99"/>
    <w:rsid w:val="0092313C"/>
    <w:pPr>
      <w:jc w:val="left"/>
    </w:pPr>
    <w:rPr>
      <w:rFonts w:asciiTheme="minorHAnsi" w:eastAsiaTheme="minorEastAsia" w:hAnsiTheme="minorHAnsi"/>
      <w:szCs w:val="22"/>
      <w:lang w:val="en-IE" w:eastAsia="en-IE"/>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spacing w:before="0" w:after="0" w:line="240" w:lineRule="auto"/>
      </w:pPr>
      <w:rPr>
        <w:rFonts w:asciiTheme="minorHAnsi" w:hAnsiTheme="minorHAnsi"/>
        <w:b/>
        <w:bCs/>
        <w:color w:val="FFFFFF" w:themeColor="background1"/>
        <w:sz w:val="2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CC2131" w:themeFill="accent1"/>
      </w:tcPr>
    </w:tblStylePr>
    <w:tblStylePr w:type="lastRow">
      <w:pPr>
        <w:spacing w:before="0" w:after="0" w:line="240" w:lineRule="auto"/>
        <w:jc w:val="left"/>
      </w:pPr>
      <w:rPr>
        <w:rFonts w:asciiTheme="minorHAnsi" w:hAnsiTheme="minorHAnsi"/>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pPr>
        <w:jc w:val="left"/>
      </w:pPr>
      <w:rPr>
        <w:rFonts w:asciiTheme="minorHAnsi" w:hAnsiTheme="minorHAnsi"/>
        <w:b w:val="0"/>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Vert">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F5C4C9" w:themeFill="accent1" w:themeFillTint="3F"/>
      </w:tcPr>
    </w:tblStylePr>
    <w:tblStylePr w:type="band2Horz">
      <w:pPr>
        <w:jc w:val="left"/>
      </w:pPr>
      <w:rPr>
        <w:rFonts w:asciiTheme="minorHAnsi" w:hAnsiTheme="minorHAnsi"/>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table" w:styleId="MediumShading1-Accent1">
    <w:name w:val="Medium Shading 1 Accent 1"/>
    <w:basedOn w:val="TableNormal"/>
    <w:uiPriority w:val="63"/>
    <w:rsid w:val="0092313C"/>
    <w:pPr>
      <w:spacing w:after="0" w:line="240" w:lineRule="auto"/>
    </w:pPr>
    <w:tblPr>
      <w:tblStyleRowBandSize w:val="1"/>
      <w:tblStyleColBandSize w:val="1"/>
      <w:tbl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single" w:sz="8" w:space="0" w:color="E24E5C" w:themeColor="accent1" w:themeTint="BF"/>
      </w:tblBorders>
    </w:tblPr>
    <w:tblStylePr w:type="firstRow">
      <w:pPr>
        <w:spacing w:before="0" w:after="0" w:line="240" w:lineRule="auto"/>
      </w:pPr>
      <w:rPr>
        <w:b/>
        <w:bCs/>
        <w:color w:val="FFFFFF" w:themeColor="background1"/>
      </w:rPr>
      <w:tblPr/>
      <w:tcPr>
        <w:tcBorders>
          <w:top w:val="single" w:sz="8"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shd w:val="clear" w:color="auto" w:fill="CC2131" w:themeFill="accent1"/>
      </w:tcPr>
    </w:tblStylePr>
    <w:tblStylePr w:type="lastRow">
      <w:pPr>
        <w:spacing w:before="0" w:after="0" w:line="240" w:lineRule="auto"/>
      </w:pPr>
      <w:rPr>
        <w:b/>
        <w:bCs/>
      </w:rPr>
      <w:tblPr/>
      <w:tcPr>
        <w:tcBorders>
          <w:top w:val="double" w:sz="6" w:space="0" w:color="E24E5C" w:themeColor="accent1" w:themeTint="BF"/>
          <w:left w:val="single" w:sz="8" w:space="0" w:color="E24E5C" w:themeColor="accent1" w:themeTint="BF"/>
          <w:bottom w:val="single" w:sz="8" w:space="0" w:color="E24E5C" w:themeColor="accent1" w:themeTint="BF"/>
          <w:right w:val="single" w:sz="8" w:space="0" w:color="E24E5C" w:themeColor="accent1" w:themeTint="BF"/>
          <w:insideH w:val="nil"/>
          <w:insideV w:val="nil"/>
        </w:tcBorders>
      </w:tcPr>
    </w:tblStylePr>
    <w:tblStylePr w:type="firstCol">
      <w:rPr>
        <w:b/>
        <w:bCs/>
      </w:rPr>
    </w:tblStylePr>
    <w:tblStylePr w:type="lastCol">
      <w:rPr>
        <w:b/>
        <w:bCs/>
      </w:rPr>
    </w:tblStylePr>
    <w:tblStylePr w:type="band1Vert">
      <w:tblPr/>
      <w:tcPr>
        <w:shd w:val="clear" w:color="auto" w:fill="F5C4C9" w:themeFill="accent1" w:themeFillTint="3F"/>
      </w:tcPr>
    </w:tblStylePr>
    <w:tblStylePr w:type="band1Horz">
      <w:tblPr/>
      <w:tcPr>
        <w:tcBorders>
          <w:insideH w:val="nil"/>
          <w:insideV w:val="nil"/>
        </w:tcBorders>
        <w:shd w:val="clear" w:color="auto" w:fill="F5C4C9" w:themeFill="accent1" w:themeFillTint="3F"/>
      </w:tcPr>
    </w:tblStylePr>
    <w:tblStylePr w:type="band2Horz">
      <w:tblPr/>
      <w:tcPr>
        <w:tcBorders>
          <w:insideH w:val="nil"/>
          <w:insideV w:val="nil"/>
        </w:tcBorders>
      </w:tcPr>
    </w:tblStylePr>
  </w:style>
  <w:style w:type="numbering" w:customStyle="1" w:styleId="Headings">
    <w:name w:val="Headings"/>
    <w:uiPriority w:val="99"/>
    <w:rsid w:val="0033505B"/>
    <w:pPr>
      <w:numPr>
        <w:numId w:val="44"/>
      </w:numPr>
    </w:pPr>
  </w:style>
  <w:style w:type="character" w:customStyle="1" w:styleId="NoSpacingChar">
    <w:name w:val="No Spacing Char"/>
    <w:basedOn w:val="DefaultParagraphFont"/>
    <w:link w:val="NoSpacing"/>
    <w:uiPriority w:val="1"/>
    <w:rsid w:val="0033505B"/>
    <w:rPr>
      <w:lang w:val="en-GB"/>
    </w:rPr>
  </w:style>
  <w:style w:type="paragraph" w:customStyle="1" w:styleId="CERLEVEL51">
    <w:name w:val="CER LEVEL 51"/>
    <w:basedOn w:val="Normal"/>
    <w:qFormat/>
    <w:rsid w:val="006E6449"/>
    <w:pPr>
      <w:spacing w:before="120" w:after="120" w:line="240" w:lineRule="auto"/>
      <w:ind w:left="1789" w:hanging="709"/>
    </w:pPr>
    <w:rPr>
      <w:rFonts w:eastAsia="Times New Roman" w:cs="Times New Roman"/>
      <w:sz w:val="22"/>
      <w:szCs w:val="22"/>
      <w:lang w:val="en-US"/>
    </w:rPr>
  </w:style>
  <w:style w:type="paragraph" w:customStyle="1" w:styleId="CERLevel8">
    <w:name w:val="CER Level 8"/>
    <w:basedOn w:val="CERLEVEL7"/>
    <w:qFormat/>
    <w:rsid w:val="00C7053D"/>
    <w:pPr>
      <w:ind w:left="3240" w:hanging="360"/>
    </w:pPr>
  </w:style>
  <w:style w:type="paragraph" w:customStyle="1" w:styleId="CERAppendixLevel2">
    <w:name w:val="CER Appendix Level 2"/>
    <w:basedOn w:val="BodyTextFirstIndent"/>
    <w:qFormat/>
    <w:rsid w:val="00C7053D"/>
    <w:pPr>
      <w:numPr>
        <w:numId w:val="47"/>
      </w:numPr>
      <w:spacing w:after="200" w:line="276" w:lineRule="auto"/>
      <w:jc w:val="left"/>
    </w:pPr>
    <w:rPr>
      <w:rFonts w:eastAsiaTheme="minorEastAsia"/>
      <w:sz w:val="22"/>
      <w:szCs w:val="22"/>
      <w:lang w:val="en-IE" w:eastAsia="en-IE"/>
    </w:rPr>
  </w:style>
  <w:style w:type="character" w:customStyle="1" w:styleId="CERLEVEL4Char">
    <w:name w:val="CER LEVEL 4 Char"/>
    <w:basedOn w:val="DefaultParagraphFont"/>
    <w:link w:val="CERLEVEL4"/>
    <w:rsid w:val="00BF6FC5"/>
    <w:rPr>
      <w:rFonts w:eastAsia="Times New Roman" w:cs="Times New Roman"/>
      <w:sz w:val="22"/>
      <w:szCs w:val="22"/>
      <w:lang w:val="en-IE"/>
    </w:rPr>
  </w:style>
  <w:style w:type="character" w:customStyle="1" w:styleId="fontstyle01">
    <w:name w:val="fontstyle01"/>
    <w:basedOn w:val="DefaultParagraphFont"/>
    <w:rsid w:val="00622D8B"/>
    <w:rPr>
      <w:rFonts w:ascii="Calibri" w:hAnsi="Calibri" w:cs="Calibri" w:hint="default"/>
      <w:b w:val="0"/>
      <w:bCs w:val="0"/>
      <w:i w:val="0"/>
      <w:iCs w:val="0"/>
      <w:color w:val="000000"/>
      <w:sz w:val="22"/>
      <w:szCs w:val="22"/>
    </w:rPr>
  </w:style>
  <w:style w:type="paragraph" w:customStyle="1" w:styleId="CERLevel50">
    <w:name w:val="CER Level 5"/>
    <w:basedOn w:val="CERLEVEL5"/>
    <w:link w:val="CERLevel5Char0"/>
    <w:qFormat/>
    <w:rsid w:val="00DC7301"/>
    <w:pPr>
      <w:numPr>
        <w:numId w:val="11"/>
      </w:numPr>
    </w:pPr>
  </w:style>
  <w:style w:type="character" w:customStyle="1" w:styleId="CERLevel5Char0">
    <w:name w:val="CER Level 5 Char"/>
    <w:basedOn w:val="DefaultParagraphFont"/>
    <w:link w:val="CERLevel50"/>
    <w:rsid w:val="00DC7301"/>
    <w:rPr>
      <w:rFonts w:eastAsia="Times New Roman" w:cs="Times New Roman"/>
      <w:sz w:val="22"/>
      <w:szCs w:val="22"/>
      <w:lang w:val="en-IE"/>
    </w:rPr>
  </w:style>
  <w:style w:type="character" w:customStyle="1" w:styleId="cf01">
    <w:name w:val="cf01"/>
    <w:basedOn w:val="DefaultParagraphFont"/>
    <w:rsid w:val="0030143A"/>
    <w:rPr>
      <w:rFonts w:ascii="Segoe UI" w:hAnsi="Segoe UI" w:cs="Segoe UI" w:hint="default"/>
      <w:i/>
      <w:iCs/>
      <w:sz w:val="18"/>
      <w:szCs w:val="18"/>
      <w:shd w:val="clear" w:color="auto" w:fill="FFFF00"/>
    </w:rPr>
  </w:style>
  <w:style w:type="character" w:customStyle="1" w:styleId="CERLEVEL5Char">
    <w:name w:val="CER LEVEL 5 Char"/>
    <w:basedOn w:val="DefaultParagraphFont"/>
    <w:link w:val="CERLEVEL5"/>
    <w:rsid w:val="00C16B46"/>
    <w:rPr>
      <w:rFonts w:eastAsia="Times New Roman" w:cs="Times New Roman"/>
      <w:sz w:val="22"/>
      <w:szCs w:val="22"/>
      <w:lang w:val="en-IE"/>
    </w:rPr>
  </w:style>
  <w:style w:type="character" w:customStyle="1" w:styleId="cf11">
    <w:name w:val="cf11"/>
    <w:basedOn w:val="DefaultParagraphFont"/>
    <w:rsid w:val="00DA2BF7"/>
    <w:rPr>
      <w:rFonts w:ascii="Segoe UI" w:hAnsi="Segoe UI" w:cs="Segoe UI" w:hint="default"/>
      <w:i/>
      <w:iCs/>
      <w:sz w:val="18"/>
      <w:szCs w:val="18"/>
    </w:rPr>
  </w:style>
  <w:style w:type="paragraph" w:customStyle="1" w:styleId="pf0">
    <w:name w:val="pf0"/>
    <w:basedOn w:val="Normal"/>
    <w:rsid w:val="00185B4A"/>
    <w:pPr>
      <w:spacing w:before="100" w:beforeAutospacing="1" w:after="100" w:afterAutospacing="1" w:line="240" w:lineRule="auto"/>
      <w:jc w:val="lef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779">
      <w:bodyDiv w:val="1"/>
      <w:marLeft w:val="0"/>
      <w:marRight w:val="0"/>
      <w:marTop w:val="0"/>
      <w:marBottom w:val="0"/>
      <w:divBdr>
        <w:top w:val="none" w:sz="0" w:space="0" w:color="auto"/>
        <w:left w:val="none" w:sz="0" w:space="0" w:color="auto"/>
        <w:bottom w:val="none" w:sz="0" w:space="0" w:color="auto"/>
        <w:right w:val="none" w:sz="0" w:space="0" w:color="auto"/>
      </w:divBdr>
    </w:div>
    <w:div w:id="198705314">
      <w:bodyDiv w:val="1"/>
      <w:marLeft w:val="0"/>
      <w:marRight w:val="0"/>
      <w:marTop w:val="0"/>
      <w:marBottom w:val="0"/>
      <w:divBdr>
        <w:top w:val="none" w:sz="0" w:space="0" w:color="auto"/>
        <w:left w:val="none" w:sz="0" w:space="0" w:color="auto"/>
        <w:bottom w:val="none" w:sz="0" w:space="0" w:color="auto"/>
        <w:right w:val="none" w:sz="0" w:space="0" w:color="auto"/>
      </w:divBdr>
    </w:div>
    <w:div w:id="304773500">
      <w:bodyDiv w:val="1"/>
      <w:marLeft w:val="0"/>
      <w:marRight w:val="0"/>
      <w:marTop w:val="0"/>
      <w:marBottom w:val="0"/>
      <w:divBdr>
        <w:top w:val="none" w:sz="0" w:space="0" w:color="auto"/>
        <w:left w:val="none" w:sz="0" w:space="0" w:color="auto"/>
        <w:bottom w:val="none" w:sz="0" w:space="0" w:color="auto"/>
        <w:right w:val="none" w:sz="0" w:space="0" w:color="auto"/>
      </w:divBdr>
    </w:div>
    <w:div w:id="420956653">
      <w:bodyDiv w:val="1"/>
      <w:marLeft w:val="0"/>
      <w:marRight w:val="0"/>
      <w:marTop w:val="0"/>
      <w:marBottom w:val="0"/>
      <w:divBdr>
        <w:top w:val="none" w:sz="0" w:space="0" w:color="auto"/>
        <w:left w:val="none" w:sz="0" w:space="0" w:color="auto"/>
        <w:bottom w:val="none" w:sz="0" w:space="0" w:color="auto"/>
        <w:right w:val="none" w:sz="0" w:space="0" w:color="auto"/>
      </w:divBdr>
    </w:div>
    <w:div w:id="510291135">
      <w:bodyDiv w:val="1"/>
      <w:marLeft w:val="0"/>
      <w:marRight w:val="0"/>
      <w:marTop w:val="0"/>
      <w:marBottom w:val="0"/>
      <w:divBdr>
        <w:top w:val="none" w:sz="0" w:space="0" w:color="auto"/>
        <w:left w:val="none" w:sz="0" w:space="0" w:color="auto"/>
        <w:bottom w:val="none" w:sz="0" w:space="0" w:color="auto"/>
        <w:right w:val="none" w:sz="0" w:space="0" w:color="auto"/>
      </w:divBdr>
    </w:div>
    <w:div w:id="524290537">
      <w:bodyDiv w:val="1"/>
      <w:marLeft w:val="0"/>
      <w:marRight w:val="0"/>
      <w:marTop w:val="0"/>
      <w:marBottom w:val="0"/>
      <w:divBdr>
        <w:top w:val="none" w:sz="0" w:space="0" w:color="auto"/>
        <w:left w:val="none" w:sz="0" w:space="0" w:color="auto"/>
        <w:bottom w:val="none" w:sz="0" w:space="0" w:color="auto"/>
        <w:right w:val="none" w:sz="0" w:space="0" w:color="auto"/>
      </w:divBdr>
    </w:div>
    <w:div w:id="603731252">
      <w:bodyDiv w:val="1"/>
      <w:marLeft w:val="0"/>
      <w:marRight w:val="0"/>
      <w:marTop w:val="0"/>
      <w:marBottom w:val="0"/>
      <w:divBdr>
        <w:top w:val="none" w:sz="0" w:space="0" w:color="auto"/>
        <w:left w:val="none" w:sz="0" w:space="0" w:color="auto"/>
        <w:bottom w:val="none" w:sz="0" w:space="0" w:color="auto"/>
        <w:right w:val="none" w:sz="0" w:space="0" w:color="auto"/>
      </w:divBdr>
    </w:div>
    <w:div w:id="630284205">
      <w:bodyDiv w:val="1"/>
      <w:marLeft w:val="0"/>
      <w:marRight w:val="0"/>
      <w:marTop w:val="0"/>
      <w:marBottom w:val="0"/>
      <w:divBdr>
        <w:top w:val="none" w:sz="0" w:space="0" w:color="auto"/>
        <w:left w:val="none" w:sz="0" w:space="0" w:color="auto"/>
        <w:bottom w:val="none" w:sz="0" w:space="0" w:color="auto"/>
        <w:right w:val="none" w:sz="0" w:space="0" w:color="auto"/>
      </w:divBdr>
    </w:div>
    <w:div w:id="935288709">
      <w:bodyDiv w:val="1"/>
      <w:marLeft w:val="0"/>
      <w:marRight w:val="0"/>
      <w:marTop w:val="0"/>
      <w:marBottom w:val="0"/>
      <w:divBdr>
        <w:top w:val="none" w:sz="0" w:space="0" w:color="auto"/>
        <w:left w:val="none" w:sz="0" w:space="0" w:color="auto"/>
        <w:bottom w:val="none" w:sz="0" w:space="0" w:color="auto"/>
        <w:right w:val="none" w:sz="0" w:space="0" w:color="auto"/>
      </w:divBdr>
    </w:div>
    <w:div w:id="1000163399">
      <w:bodyDiv w:val="1"/>
      <w:marLeft w:val="0"/>
      <w:marRight w:val="0"/>
      <w:marTop w:val="0"/>
      <w:marBottom w:val="0"/>
      <w:divBdr>
        <w:top w:val="none" w:sz="0" w:space="0" w:color="auto"/>
        <w:left w:val="none" w:sz="0" w:space="0" w:color="auto"/>
        <w:bottom w:val="none" w:sz="0" w:space="0" w:color="auto"/>
        <w:right w:val="none" w:sz="0" w:space="0" w:color="auto"/>
      </w:divBdr>
    </w:div>
    <w:div w:id="1043091444">
      <w:bodyDiv w:val="1"/>
      <w:marLeft w:val="0"/>
      <w:marRight w:val="0"/>
      <w:marTop w:val="0"/>
      <w:marBottom w:val="0"/>
      <w:divBdr>
        <w:top w:val="none" w:sz="0" w:space="0" w:color="auto"/>
        <w:left w:val="none" w:sz="0" w:space="0" w:color="auto"/>
        <w:bottom w:val="none" w:sz="0" w:space="0" w:color="auto"/>
        <w:right w:val="none" w:sz="0" w:space="0" w:color="auto"/>
      </w:divBdr>
    </w:div>
    <w:div w:id="1052315243">
      <w:bodyDiv w:val="1"/>
      <w:marLeft w:val="0"/>
      <w:marRight w:val="0"/>
      <w:marTop w:val="0"/>
      <w:marBottom w:val="0"/>
      <w:divBdr>
        <w:top w:val="none" w:sz="0" w:space="0" w:color="auto"/>
        <w:left w:val="none" w:sz="0" w:space="0" w:color="auto"/>
        <w:bottom w:val="none" w:sz="0" w:space="0" w:color="auto"/>
        <w:right w:val="none" w:sz="0" w:space="0" w:color="auto"/>
      </w:divBdr>
    </w:div>
    <w:div w:id="1074010461">
      <w:bodyDiv w:val="1"/>
      <w:marLeft w:val="0"/>
      <w:marRight w:val="0"/>
      <w:marTop w:val="0"/>
      <w:marBottom w:val="0"/>
      <w:divBdr>
        <w:top w:val="none" w:sz="0" w:space="0" w:color="auto"/>
        <w:left w:val="none" w:sz="0" w:space="0" w:color="auto"/>
        <w:bottom w:val="none" w:sz="0" w:space="0" w:color="auto"/>
        <w:right w:val="none" w:sz="0" w:space="0" w:color="auto"/>
      </w:divBdr>
    </w:div>
    <w:div w:id="1244992967">
      <w:bodyDiv w:val="1"/>
      <w:marLeft w:val="0"/>
      <w:marRight w:val="0"/>
      <w:marTop w:val="0"/>
      <w:marBottom w:val="0"/>
      <w:divBdr>
        <w:top w:val="none" w:sz="0" w:space="0" w:color="auto"/>
        <w:left w:val="none" w:sz="0" w:space="0" w:color="auto"/>
        <w:bottom w:val="none" w:sz="0" w:space="0" w:color="auto"/>
        <w:right w:val="none" w:sz="0" w:space="0" w:color="auto"/>
      </w:divBdr>
    </w:div>
    <w:div w:id="1339888311">
      <w:bodyDiv w:val="1"/>
      <w:marLeft w:val="0"/>
      <w:marRight w:val="0"/>
      <w:marTop w:val="0"/>
      <w:marBottom w:val="0"/>
      <w:divBdr>
        <w:top w:val="none" w:sz="0" w:space="0" w:color="auto"/>
        <w:left w:val="none" w:sz="0" w:space="0" w:color="auto"/>
        <w:bottom w:val="none" w:sz="0" w:space="0" w:color="auto"/>
        <w:right w:val="none" w:sz="0" w:space="0" w:color="auto"/>
      </w:divBdr>
    </w:div>
    <w:div w:id="1342318096">
      <w:bodyDiv w:val="1"/>
      <w:marLeft w:val="0"/>
      <w:marRight w:val="0"/>
      <w:marTop w:val="0"/>
      <w:marBottom w:val="0"/>
      <w:divBdr>
        <w:top w:val="none" w:sz="0" w:space="0" w:color="auto"/>
        <w:left w:val="none" w:sz="0" w:space="0" w:color="auto"/>
        <w:bottom w:val="none" w:sz="0" w:space="0" w:color="auto"/>
        <w:right w:val="none" w:sz="0" w:space="0" w:color="auto"/>
      </w:divBdr>
    </w:div>
    <w:div w:id="1478764751">
      <w:bodyDiv w:val="1"/>
      <w:marLeft w:val="0"/>
      <w:marRight w:val="0"/>
      <w:marTop w:val="0"/>
      <w:marBottom w:val="0"/>
      <w:divBdr>
        <w:top w:val="none" w:sz="0" w:space="0" w:color="auto"/>
        <w:left w:val="none" w:sz="0" w:space="0" w:color="auto"/>
        <w:bottom w:val="none" w:sz="0" w:space="0" w:color="auto"/>
        <w:right w:val="none" w:sz="0" w:space="0" w:color="auto"/>
      </w:divBdr>
    </w:div>
    <w:div w:id="1561205781">
      <w:bodyDiv w:val="1"/>
      <w:marLeft w:val="0"/>
      <w:marRight w:val="0"/>
      <w:marTop w:val="0"/>
      <w:marBottom w:val="0"/>
      <w:divBdr>
        <w:top w:val="none" w:sz="0" w:space="0" w:color="auto"/>
        <w:left w:val="none" w:sz="0" w:space="0" w:color="auto"/>
        <w:bottom w:val="none" w:sz="0" w:space="0" w:color="auto"/>
        <w:right w:val="none" w:sz="0" w:space="0" w:color="auto"/>
      </w:divBdr>
    </w:div>
    <w:div w:id="1727290521">
      <w:bodyDiv w:val="1"/>
      <w:marLeft w:val="0"/>
      <w:marRight w:val="0"/>
      <w:marTop w:val="0"/>
      <w:marBottom w:val="0"/>
      <w:divBdr>
        <w:top w:val="none" w:sz="0" w:space="0" w:color="auto"/>
        <w:left w:val="none" w:sz="0" w:space="0" w:color="auto"/>
        <w:bottom w:val="none" w:sz="0" w:space="0" w:color="auto"/>
        <w:right w:val="none" w:sz="0" w:space="0" w:color="auto"/>
      </w:divBdr>
    </w:div>
    <w:div w:id="1768620995">
      <w:bodyDiv w:val="1"/>
      <w:marLeft w:val="0"/>
      <w:marRight w:val="0"/>
      <w:marTop w:val="0"/>
      <w:marBottom w:val="0"/>
      <w:divBdr>
        <w:top w:val="none" w:sz="0" w:space="0" w:color="auto"/>
        <w:left w:val="none" w:sz="0" w:space="0" w:color="auto"/>
        <w:bottom w:val="none" w:sz="0" w:space="0" w:color="auto"/>
        <w:right w:val="none" w:sz="0" w:space="0" w:color="auto"/>
      </w:divBdr>
    </w:div>
    <w:div w:id="1924533717">
      <w:bodyDiv w:val="1"/>
      <w:marLeft w:val="0"/>
      <w:marRight w:val="0"/>
      <w:marTop w:val="0"/>
      <w:marBottom w:val="0"/>
      <w:divBdr>
        <w:top w:val="none" w:sz="0" w:space="0" w:color="auto"/>
        <w:left w:val="none" w:sz="0" w:space="0" w:color="auto"/>
        <w:bottom w:val="none" w:sz="0" w:space="0" w:color="auto"/>
        <w:right w:val="none" w:sz="0" w:space="0" w:color="auto"/>
      </w:divBdr>
    </w:div>
    <w:div w:id="1932396264">
      <w:bodyDiv w:val="1"/>
      <w:marLeft w:val="0"/>
      <w:marRight w:val="0"/>
      <w:marTop w:val="0"/>
      <w:marBottom w:val="0"/>
      <w:divBdr>
        <w:top w:val="none" w:sz="0" w:space="0" w:color="auto"/>
        <w:left w:val="none" w:sz="0" w:space="0" w:color="auto"/>
        <w:bottom w:val="none" w:sz="0" w:space="0" w:color="auto"/>
        <w:right w:val="none" w:sz="0" w:space="0" w:color="auto"/>
      </w:divBdr>
    </w:div>
    <w:div w:id="1937014201">
      <w:bodyDiv w:val="1"/>
      <w:marLeft w:val="0"/>
      <w:marRight w:val="0"/>
      <w:marTop w:val="0"/>
      <w:marBottom w:val="0"/>
      <w:divBdr>
        <w:top w:val="none" w:sz="0" w:space="0" w:color="auto"/>
        <w:left w:val="none" w:sz="0" w:space="0" w:color="auto"/>
        <w:bottom w:val="none" w:sz="0" w:space="0" w:color="auto"/>
        <w:right w:val="none" w:sz="0" w:space="0" w:color="auto"/>
      </w:divBdr>
    </w:div>
    <w:div w:id="2056614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MOP">
  <a:themeElements>
    <a:clrScheme name="MOP Colours">
      <a:dk1>
        <a:srgbClr val="C0C0C0"/>
      </a:dk1>
      <a:lt1>
        <a:sysClr val="window" lastClr="FFFFFF"/>
      </a:lt1>
      <a:dk2>
        <a:srgbClr val="000000"/>
      </a:dk2>
      <a:lt2>
        <a:srgbClr val="FFFFFF"/>
      </a:lt2>
      <a:accent1>
        <a:srgbClr val="CC2131"/>
      </a:accent1>
      <a:accent2>
        <a:srgbClr val="319EE0"/>
      </a:accent2>
      <a:accent3>
        <a:srgbClr val="A39A00"/>
      </a:accent3>
      <a:accent4>
        <a:srgbClr val="DD6F01"/>
      </a:accent4>
      <a:accent5>
        <a:srgbClr val="8F947C"/>
      </a:accent5>
      <a:accent6>
        <a:srgbClr val="8D3F7C"/>
      </a:accent6>
      <a:hlink>
        <a:srgbClr val="0000FF"/>
      </a:hlink>
      <a:folHlink>
        <a:srgbClr val="800080"/>
      </a:folHlink>
    </a:clrScheme>
    <a:fontScheme name="MOP Font">
      <a:majorFont>
        <a:latin typeface="Arial"/>
        <a:ea typeface=""/>
        <a:cs typeface=""/>
      </a:majorFont>
      <a:minorFont>
        <a:latin typeface="Arial"/>
        <a:ea typeface=""/>
        <a:cs typeface=""/>
      </a:minorFont>
    </a:fontScheme>
    <a:fmtScheme name="Origin">
      <a:fillStyleLst>
        <a:solidFill>
          <a:schemeClr val="phClr"/>
        </a:solidFill>
        <a:gradFill rotWithShape="1">
          <a:gsLst>
            <a:gs pos="0">
              <a:schemeClr val="phClr">
                <a:tint val="45000"/>
                <a:satMod val="200000"/>
              </a:schemeClr>
            </a:gs>
            <a:gs pos="30000">
              <a:schemeClr val="phClr">
                <a:tint val="61000"/>
                <a:satMod val="200000"/>
              </a:schemeClr>
            </a:gs>
            <a:gs pos="45000">
              <a:schemeClr val="phClr">
                <a:tint val="66000"/>
                <a:satMod val="200000"/>
              </a:schemeClr>
            </a:gs>
            <a:gs pos="55000">
              <a:schemeClr val="phClr">
                <a:tint val="66000"/>
                <a:satMod val="200000"/>
              </a:schemeClr>
            </a:gs>
            <a:gs pos="73000">
              <a:schemeClr val="phClr">
                <a:tint val="61000"/>
                <a:satMod val="200000"/>
              </a:schemeClr>
            </a:gs>
            <a:gs pos="100000">
              <a:schemeClr val="phClr">
                <a:tint val="45000"/>
                <a:satMod val="200000"/>
              </a:schemeClr>
            </a:gs>
          </a:gsLst>
          <a:lin ang="950000" scaled="1"/>
        </a:gradFill>
        <a:gradFill rotWithShape="1">
          <a:gsLst>
            <a:gs pos="0">
              <a:schemeClr val="phClr">
                <a:shade val="63000"/>
              </a:schemeClr>
            </a:gs>
            <a:gs pos="30000">
              <a:schemeClr val="phClr">
                <a:shade val="90000"/>
                <a:satMod val="110000"/>
              </a:schemeClr>
            </a:gs>
            <a:gs pos="45000">
              <a:schemeClr val="phClr">
                <a:shade val="100000"/>
                <a:satMod val="118000"/>
              </a:schemeClr>
            </a:gs>
            <a:gs pos="55000">
              <a:schemeClr val="phClr">
                <a:shade val="100000"/>
                <a:satMod val="118000"/>
              </a:schemeClr>
            </a:gs>
            <a:gs pos="73000">
              <a:schemeClr val="phClr">
                <a:shade val="90000"/>
                <a:satMod val="110000"/>
              </a:schemeClr>
            </a:gs>
            <a:gs pos="100000">
              <a:schemeClr val="phClr">
                <a:shade val="63000"/>
              </a:schemeClr>
            </a:gs>
          </a:gsLst>
          <a:lin ang="950000" scaled="1"/>
        </a:gradFill>
      </a:fillStyleLst>
      <a:lnStyleLst>
        <a:ln w="9525" cap="flat" cmpd="sng" algn="ctr">
          <a:solidFill>
            <a:schemeClr val="ph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outerShdw blurRad="38100" dist="25400" dir="5400000" rotWithShape="0">
              <a:srgbClr val="000000">
                <a:alpha val="40000"/>
              </a:srgbClr>
            </a:outerShdw>
          </a:effectLst>
        </a:effectStyle>
        <a:effectStyle>
          <a:effectLst>
            <a:outerShdw blurRad="50800" dist="43000" dir="5400000" rotWithShape="0">
              <a:srgbClr val="000000">
                <a:alpha val="40000"/>
              </a:srgbClr>
            </a:outerShdw>
          </a:effectLst>
          <a:scene3d>
            <a:camera prst="orthographicFront" fov="0">
              <a:rot lat="0" lon="0" rev="0"/>
            </a:camera>
            <a:lightRig rig="balanced" dir="t">
              <a:rot lat="0" lon="0" rev="0"/>
            </a:lightRig>
          </a:scene3d>
          <a:sp3d prstMaterial="matte">
            <a:bevelT w="0" h="0"/>
            <a:contourClr>
              <a:schemeClr val="phClr">
                <a:tint val="100000"/>
                <a:shade val="100000"/>
                <a:hueMod val="100000"/>
                <a:satMod val="100000"/>
              </a:schemeClr>
            </a:contourClr>
          </a:sp3d>
        </a:effectStyle>
        <a:effectStyle>
          <a:effectLst>
            <a:outerShdw blurRad="50800" dist="25400" dir="5400000" rotWithShape="0">
              <a:srgbClr val="000000">
                <a:alpha val="50000"/>
              </a:srgbClr>
            </a:outerShdw>
          </a:effectLst>
          <a:scene3d>
            <a:camera prst="orthographicFront" fov="0">
              <a:rot lat="0" lon="0" rev="0"/>
            </a:camera>
            <a:lightRig rig="soft" dir="t">
              <a:rot lat="0" lon="0" rev="2700000"/>
            </a:lightRig>
          </a:scene3d>
          <a:sp3d prstMaterial="matte">
            <a:bevelT w="50800" h="50800"/>
            <a:contourClr>
              <a:schemeClr val="ph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4bb1f77-c41d-4387-a9aa-22ea4d7c3d14" xsi:nil="true"/>
    <lcf76f155ced4ddcb4097134ff3c332f xmlns="2a15a0b3-8dde-4e44-be68-86a476936bd0">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Έγγραφο" ma:contentTypeID="0x0101002729FAA58A887545A2A76D6FB805FA90" ma:contentTypeVersion="12" ma:contentTypeDescription="Δημιουργία νέου εγγράφου" ma:contentTypeScope="" ma:versionID="8ecadf9c679e323c7b3a946a6b0ab7ab">
  <xsd:schema xmlns:xsd="http://www.w3.org/2001/XMLSchema" xmlns:xs="http://www.w3.org/2001/XMLSchema" xmlns:p="http://schemas.microsoft.com/office/2006/metadata/properties" xmlns:ns2="2a15a0b3-8dde-4e44-be68-86a476936bd0" xmlns:ns3="24bb1f77-c41d-4387-a9aa-22ea4d7c3d14" targetNamespace="http://schemas.microsoft.com/office/2006/metadata/properties" ma:root="true" ma:fieldsID="c6ce4b3a075d0b3b43e73526ef79fbf9" ns2:_="" ns3:_="">
    <xsd:import namespace="2a15a0b3-8dde-4e44-be68-86a476936bd0"/>
    <xsd:import namespace="24bb1f77-c41d-4387-a9aa-22ea4d7c3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15a0b3-8dde-4e44-be68-86a476936b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Ετικέτες εικόνας" ma:readOnly="false" ma:fieldId="{5cf76f15-5ced-4ddc-b409-7134ff3c332f}" ma:taxonomyMulti="true" ma:sspId="224816e7-a35d-4210-8a49-a285d129a58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bb1f77-c41d-4387-a9aa-22ea4d7c3d14" elementFormDefault="qualified">
    <xsd:import namespace="http://schemas.microsoft.com/office/2006/documentManagement/types"/>
    <xsd:import namespace="http://schemas.microsoft.com/office/infopath/2007/PartnerControls"/>
    <xsd:element name="SharedWithUsers" ma:index="12" nillable="true" ma:displayName="Κοινή χρήση με"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Κοινή χρήση με λεπτομέρειες" ma:internalName="SharedWithDetails" ma:readOnly="true">
      <xsd:simpleType>
        <xsd:restriction base="dms:Note">
          <xsd:maxLength value="255"/>
        </xsd:restriction>
      </xsd:simpleType>
    </xsd:element>
    <xsd:element name="TaxCatchAll" ma:index="16" nillable="true" ma:displayName="Taxonomy Catch All Column" ma:hidden="true" ma:list="{0bd6bf89-fff8-481f-b06c-113c79831563}" ma:internalName="TaxCatchAll" ma:showField="CatchAllData" ma:web="24bb1f77-c41d-4387-a9aa-22ea4d7c3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68A15-5FB5-4079-B6BF-8DB2BAF6536E}">
  <ds:schemaRefs>
    <ds:schemaRef ds:uri="http://schemas.openxmlformats.org/officeDocument/2006/bibliography"/>
  </ds:schemaRefs>
</ds:datastoreItem>
</file>

<file path=customXml/itemProps2.xml><?xml version="1.0" encoding="utf-8"?>
<ds:datastoreItem xmlns:ds="http://schemas.openxmlformats.org/officeDocument/2006/customXml" ds:itemID="{43DC1F81-65E7-4C57-98E6-D68C4EC85D83}">
  <ds:schemaRefs>
    <ds:schemaRef ds:uri="http://schemas.microsoft.com/sharepoint/v3/contenttype/forms"/>
  </ds:schemaRefs>
</ds:datastoreItem>
</file>

<file path=customXml/itemProps3.xml><?xml version="1.0" encoding="utf-8"?>
<ds:datastoreItem xmlns:ds="http://schemas.openxmlformats.org/officeDocument/2006/customXml" ds:itemID="{50A935A9-26BE-4D01-9676-D16387055293}">
  <ds:schemaRefs>
    <ds:schemaRef ds:uri="http://schemas.microsoft.com/office/2006/metadata/properties"/>
    <ds:schemaRef ds:uri="http://schemas.microsoft.com/office/infopath/2007/PartnerControls"/>
    <ds:schemaRef ds:uri="24bb1f77-c41d-4387-a9aa-22ea4d7c3d14"/>
    <ds:schemaRef ds:uri="2a15a0b3-8dde-4e44-be68-86a476936bd0"/>
  </ds:schemaRefs>
</ds:datastoreItem>
</file>

<file path=customXml/itemProps4.xml><?xml version="1.0" encoding="utf-8"?>
<ds:datastoreItem xmlns:ds="http://schemas.openxmlformats.org/officeDocument/2006/customXml" ds:itemID="{F815E0A0-A31B-4840-A4FE-9DCC6011C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15a0b3-8dde-4e44-be68-86a476936bd0"/>
    <ds:schemaRef ds:uri="24bb1f77-c41d-4387-a9aa-22ea4d7c3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7151</Words>
  <Characters>40763</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47819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Sinani</dc:creator>
  <cp:keywords/>
  <cp:lastModifiedBy>Sokol  Dishnica</cp:lastModifiedBy>
  <cp:revision>2</cp:revision>
  <dcterms:created xsi:type="dcterms:W3CDTF">2022-08-09T07:55:00Z</dcterms:created>
  <dcterms:modified xsi:type="dcterms:W3CDTF">2022-08-09T07:55:00Z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39500</vt:r8>
  </property>
  <property fmtid="{D5CDD505-2E9C-101B-9397-08002B2CF9AE}" pid="3" name="Document Status1">
    <vt:lpwstr>Draft</vt:lpwstr>
  </property>
  <property fmtid="{D5CDD505-2E9C-101B-9397-08002B2CF9AE}" pid="4" name="Process Type">
    <vt:lpwstr>Rules</vt:lpwstr>
  </property>
  <property fmtid="{D5CDD505-2E9C-101B-9397-08002B2CF9AE}" pid="5" name="ContentTypeId">
    <vt:lpwstr>0x0101002729FAA58A887545A2A76D6FB805FA90</vt:lpwstr>
  </property>
  <property fmtid="{D5CDD505-2E9C-101B-9397-08002B2CF9AE}" pid="6" name="Sub Type">
    <vt:lpwstr>Glossary</vt:lpwstr>
  </property>
  <property fmtid="{D5CDD505-2E9C-101B-9397-08002B2CF9AE}" pid="7" name="Doc Type">
    <vt:lpwstr>NEMO Rules</vt:lpwstr>
  </property>
  <property fmtid="{D5CDD505-2E9C-101B-9397-08002B2CF9AE}" pid="8" name="BBDocRef">
    <vt:lpwstr>EIRGR.0003 - I-SEM variable price work packages\Documents\32662476.12</vt:lpwstr>
  </property>
  <property fmtid="{D5CDD505-2E9C-101B-9397-08002B2CF9AE}" pid="9" name="mq01">
    <vt:lpwstr/>
  </property>
  <property fmtid="{D5CDD505-2E9C-101B-9397-08002B2CF9AE}" pid="10" name="MediaServiceImageTags">
    <vt:lpwstr/>
  </property>
</Properties>
</file>